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65E2" w14:textId="288E2755" w:rsidR="00CE1FC5" w:rsidRDefault="00F430FD" w:rsidP="00CE1FC5">
      <w:pPr>
        <w:spacing w:line="480" w:lineRule="auto"/>
        <w:jc w:val="center"/>
        <w:rPr>
          <w:b/>
        </w:rPr>
      </w:pPr>
      <w:bookmarkStart w:id="0" w:name="_GoBack"/>
      <w:bookmarkEnd w:id="0"/>
      <w:r>
        <w:rPr>
          <w:b/>
        </w:rPr>
        <w:t xml:space="preserve"> </w:t>
      </w:r>
    </w:p>
    <w:p w14:paraId="2F85E82E" w14:textId="54D43284" w:rsidR="004C139A" w:rsidRPr="00550D0B" w:rsidRDefault="00507B36" w:rsidP="004C139A">
      <w:pPr>
        <w:spacing w:line="480" w:lineRule="auto"/>
        <w:jc w:val="center"/>
      </w:pPr>
      <w:r>
        <w:t xml:space="preserve">The Influence of </w:t>
      </w:r>
      <w:r w:rsidR="00A2087A">
        <w:t xml:space="preserve">Supervisor </w:t>
      </w:r>
      <w:r w:rsidR="00792371">
        <w:t xml:space="preserve">Bottom-Line Mentality </w:t>
      </w:r>
      <w:r w:rsidR="00A2087A">
        <w:t xml:space="preserve">and Employee </w:t>
      </w:r>
      <w:r>
        <w:t>Bottom-Line Mentality on Leader</w:t>
      </w:r>
      <w:r w:rsidR="006A4C46">
        <w:t>-</w:t>
      </w:r>
      <w:r>
        <w:t>Member Exchange</w:t>
      </w:r>
      <w:r w:rsidR="00343BE2">
        <w:t xml:space="preserve"> and Subsequent Employee Performanc</w:t>
      </w:r>
      <w:r w:rsidR="00C305AC">
        <w:t>e</w:t>
      </w:r>
    </w:p>
    <w:p w14:paraId="15DD150F" w14:textId="13B53C13" w:rsidR="00CE1FC5" w:rsidRPr="00867E10" w:rsidRDefault="00E04396" w:rsidP="00E52095">
      <w:pPr>
        <w:spacing w:line="480" w:lineRule="auto"/>
        <w:jc w:val="center"/>
        <w:rPr>
          <w:b/>
          <w:highlight w:val="yellow"/>
        </w:rPr>
      </w:pPr>
      <w:r w:rsidRPr="004C139A">
        <w:rPr>
          <w:b/>
        </w:rPr>
        <w:tab/>
      </w:r>
      <w:bookmarkStart w:id="1" w:name="_Hlk490731506"/>
    </w:p>
    <w:bookmarkEnd w:id="1"/>
    <w:p w14:paraId="25FA13F5" w14:textId="7D51C745" w:rsidR="006953D5" w:rsidRPr="00B859FE" w:rsidRDefault="00CE1FC5" w:rsidP="00B859FE">
      <w:pPr>
        <w:spacing w:line="480" w:lineRule="auto"/>
        <w:jc w:val="center"/>
        <w:rPr>
          <w:b/>
          <w:szCs w:val="24"/>
        </w:rPr>
      </w:pPr>
      <w:r w:rsidRPr="000643F5">
        <w:t>Abstract</w:t>
      </w:r>
    </w:p>
    <w:p w14:paraId="20AFCA48" w14:textId="54FC7431" w:rsidR="00B859FE" w:rsidRPr="00B859FE" w:rsidRDefault="00B859FE" w:rsidP="00B859FE">
      <w:pPr>
        <w:pStyle w:val="CommentText"/>
        <w:spacing w:line="480" w:lineRule="auto"/>
        <w:rPr>
          <w:sz w:val="24"/>
          <w:szCs w:val="24"/>
        </w:rPr>
      </w:pPr>
      <w:r>
        <w:rPr>
          <w:sz w:val="24"/>
          <w:szCs w:val="24"/>
        </w:rPr>
        <w:t xml:space="preserve">Are supervisors who care more about profits than employee well-being seen by employees as being good exchange partners? </w:t>
      </w:r>
      <w:r w:rsidRPr="00B859FE">
        <w:rPr>
          <w:sz w:val="24"/>
          <w:szCs w:val="24"/>
        </w:rPr>
        <w:t>How do employees perceive and respond to supervisors who treat</w:t>
      </w:r>
      <w:r>
        <w:rPr>
          <w:sz w:val="24"/>
          <w:szCs w:val="24"/>
        </w:rPr>
        <w:t xml:space="preserve"> the bottom line as more important than anything else</w:t>
      </w:r>
      <w:r w:rsidRPr="00B859FE">
        <w:rPr>
          <w:sz w:val="24"/>
          <w:szCs w:val="24"/>
        </w:rPr>
        <w:t>?</w:t>
      </w:r>
      <w:r w:rsidR="00195004">
        <w:rPr>
          <w:sz w:val="24"/>
          <w:szCs w:val="24"/>
        </w:rPr>
        <w:t xml:space="preserve"> Supervisors who hold a bottom-line mentality (BLM) neglect competing priorities such as employee well-being and ethical practices to focus on securing bottom-line success. </w:t>
      </w:r>
      <w:r w:rsidR="00195004" w:rsidRPr="00195004">
        <w:rPr>
          <w:sz w:val="24"/>
          <w:szCs w:val="24"/>
        </w:rPr>
        <w:t xml:space="preserve">We </w:t>
      </w:r>
      <w:r w:rsidR="00195004">
        <w:rPr>
          <w:sz w:val="24"/>
          <w:szCs w:val="24"/>
        </w:rPr>
        <w:t xml:space="preserve">find </w:t>
      </w:r>
      <w:r w:rsidR="00195004" w:rsidRPr="00195004">
        <w:rPr>
          <w:sz w:val="24"/>
          <w:szCs w:val="24"/>
        </w:rPr>
        <w:t xml:space="preserve">high-BLM supervisors serve as low-quality exchange partners with their employees, </w:t>
      </w:r>
      <w:r w:rsidR="004B7F49">
        <w:rPr>
          <w:sz w:val="24"/>
          <w:szCs w:val="24"/>
        </w:rPr>
        <w:t>resulting</w:t>
      </w:r>
      <w:r w:rsidR="00195004" w:rsidRPr="00195004">
        <w:rPr>
          <w:sz w:val="24"/>
          <w:szCs w:val="24"/>
        </w:rPr>
        <w:t xml:space="preserve"> in employee perceptions of low-quality leader-member exchange (LMX) relationships. In turn, employees reciprocate by withholding the very thing the supervisor desires</w:t>
      </w:r>
      <w:r w:rsidR="00393548">
        <w:rPr>
          <w:sz w:val="24"/>
          <w:szCs w:val="24"/>
        </w:rPr>
        <w:t>—</w:t>
      </w:r>
      <w:r w:rsidR="00973346" w:rsidRPr="00195004">
        <w:rPr>
          <w:sz w:val="24"/>
          <w:szCs w:val="24"/>
        </w:rPr>
        <w:t>performance</w:t>
      </w:r>
      <w:r w:rsidR="00393548">
        <w:rPr>
          <w:sz w:val="24"/>
          <w:szCs w:val="24"/>
        </w:rPr>
        <w:t xml:space="preserve">—in </w:t>
      </w:r>
      <w:r w:rsidR="00195004" w:rsidRPr="00195004">
        <w:rPr>
          <w:sz w:val="24"/>
          <w:szCs w:val="24"/>
        </w:rPr>
        <w:t>order to maintain balance in the exchange relationship.</w:t>
      </w:r>
      <w:r w:rsidR="003E3B32">
        <w:rPr>
          <w:sz w:val="24"/>
          <w:szCs w:val="24"/>
        </w:rPr>
        <w:t xml:space="preserve"> As such, supervisors who possess a BLM could actually be negatively impacting the organization’s bottom line through the harmful social exchange relationships they engender with their employees and their impact on employee task performance.</w:t>
      </w:r>
      <w:r w:rsidR="00195004" w:rsidRPr="00195004">
        <w:rPr>
          <w:sz w:val="24"/>
          <w:szCs w:val="24"/>
        </w:rPr>
        <w:t xml:space="preserve"> We also examine the moderating role of employee BLM on these relationships. When employee BLM is low, we observe a greater negative effect on employee value judgments of the supervisor (i.e., reduced LMX perceptions) and lower employee performance. We </w:t>
      </w:r>
      <w:r w:rsidR="00195004">
        <w:rPr>
          <w:sz w:val="24"/>
          <w:szCs w:val="24"/>
        </w:rPr>
        <w:t>test and find</w:t>
      </w:r>
      <w:r w:rsidR="00195004" w:rsidRPr="00195004">
        <w:rPr>
          <w:sz w:val="24"/>
          <w:szCs w:val="24"/>
        </w:rPr>
        <w:t xml:space="preserve"> support for all of our hypotheses in two multi-source</w:t>
      </w:r>
      <w:r w:rsidR="00195004">
        <w:rPr>
          <w:sz w:val="24"/>
          <w:szCs w:val="24"/>
        </w:rPr>
        <w:t xml:space="preserve"> (i.e., employee-supervisor dyads)</w:t>
      </w:r>
      <w:r w:rsidR="00195004" w:rsidRPr="00195004">
        <w:rPr>
          <w:sz w:val="24"/>
          <w:szCs w:val="24"/>
        </w:rPr>
        <w:t>, time-lagged field studies</w:t>
      </w:r>
      <w:r w:rsidR="00195004">
        <w:rPr>
          <w:sz w:val="24"/>
          <w:szCs w:val="24"/>
        </w:rPr>
        <w:t xml:space="preserve"> (N = 189 and N = 244)</w:t>
      </w:r>
      <w:r w:rsidR="00195004" w:rsidRPr="00195004">
        <w:rPr>
          <w:sz w:val="24"/>
          <w:szCs w:val="24"/>
        </w:rPr>
        <w:t>.</w:t>
      </w:r>
      <w:r w:rsidRPr="00B859FE">
        <w:rPr>
          <w:sz w:val="24"/>
          <w:szCs w:val="24"/>
        </w:rPr>
        <w:t xml:space="preserve"> </w:t>
      </w:r>
    </w:p>
    <w:p w14:paraId="72CF4F17" w14:textId="6E8842BB" w:rsidR="006953D5" w:rsidRPr="000643F5" w:rsidRDefault="00B4573C" w:rsidP="00ED1F78">
      <w:pPr>
        <w:spacing w:line="480" w:lineRule="auto"/>
        <w:ind w:firstLine="720"/>
      </w:pPr>
      <w:r w:rsidRPr="000643F5">
        <w:rPr>
          <w:i/>
        </w:rPr>
        <w:t>Keywords</w:t>
      </w:r>
      <w:r w:rsidRPr="000643F5">
        <w:t xml:space="preserve">: </w:t>
      </w:r>
      <w:r w:rsidR="00401A45" w:rsidRPr="000643F5">
        <w:t>b</w:t>
      </w:r>
      <w:r w:rsidRPr="000643F5">
        <w:t xml:space="preserve">ottom-line mentality; </w:t>
      </w:r>
      <w:r w:rsidR="001172AE" w:rsidRPr="000643F5">
        <w:t>social exchange theory</w:t>
      </w:r>
      <w:r w:rsidRPr="000643F5">
        <w:t xml:space="preserve">; </w:t>
      </w:r>
      <w:r w:rsidR="000643F5" w:rsidRPr="000643F5">
        <w:t>LMX</w:t>
      </w:r>
      <w:r w:rsidR="001D04C3" w:rsidRPr="000643F5">
        <w:t xml:space="preserve">; </w:t>
      </w:r>
      <w:r w:rsidR="000643F5" w:rsidRPr="000643F5">
        <w:t>task performance</w:t>
      </w:r>
    </w:p>
    <w:p w14:paraId="1B099792" w14:textId="5B74D533" w:rsidR="0088789E" w:rsidRPr="00867E10" w:rsidRDefault="0088789E" w:rsidP="00663B0C">
      <w:pPr>
        <w:spacing w:line="480" w:lineRule="auto"/>
        <w:rPr>
          <w:highlight w:val="yellow"/>
        </w:rPr>
      </w:pPr>
    </w:p>
    <w:p w14:paraId="2CFDD7AF" w14:textId="2BEDF14A" w:rsidR="00AE74E7" w:rsidRDefault="006953D5" w:rsidP="00393548">
      <w:pPr>
        <w:spacing w:line="480" w:lineRule="auto"/>
        <w:jc w:val="center"/>
      </w:pPr>
      <w:r w:rsidRPr="00867E10">
        <w:rPr>
          <w:highlight w:val="yellow"/>
        </w:rPr>
        <w:br w:type="page"/>
      </w:r>
      <w:r w:rsidR="00AE74E7">
        <w:lastRenderedPageBreak/>
        <w:t xml:space="preserve">The Influence of </w:t>
      </w:r>
      <w:r w:rsidR="00A2087A">
        <w:t xml:space="preserve">Supervisor </w:t>
      </w:r>
      <w:r w:rsidR="00792371">
        <w:t xml:space="preserve">Bottom-Line Mentality </w:t>
      </w:r>
      <w:r w:rsidR="00A2087A">
        <w:t xml:space="preserve">and Employee </w:t>
      </w:r>
      <w:r w:rsidR="00AE74E7">
        <w:t>Bottom-Line Mentality on Leader</w:t>
      </w:r>
      <w:r w:rsidR="0025546C">
        <w:t>-</w:t>
      </w:r>
      <w:r w:rsidR="00AE74E7">
        <w:t>Member Exchange and Subsequent Employee Performance</w:t>
      </w:r>
    </w:p>
    <w:p w14:paraId="75C48E62" w14:textId="5EB4EF87" w:rsidR="00CD6CDA" w:rsidRPr="00550D0B" w:rsidRDefault="00662D49" w:rsidP="00D76E9C">
      <w:pPr>
        <w:spacing w:line="480" w:lineRule="auto"/>
        <w:ind w:firstLine="720"/>
      </w:pPr>
      <w:r w:rsidRPr="00662D49">
        <w:t>Bottom-line mentality (BLM) is “one-dimensional thinking that revolves around securing bottom-line outcomes to the neglect of competing priorities” (Greenbaum</w:t>
      </w:r>
      <w:r w:rsidR="00EF354D">
        <w:t xml:space="preserve"> et al.</w:t>
      </w:r>
      <w:r w:rsidRPr="00662D49">
        <w:t>, 2012</w:t>
      </w:r>
      <w:r w:rsidR="00EF354D">
        <w:t xml:space="preserve">: </w:t>
      </w:r>
      <w:r w:rsidRPr="00662D49">
        <w:t xml:space="preserve">344). The bottom line is most often considered to be tied to the financial performance of the organization (Wolfe, 1988). </w:t>
      </w:r>
      <w:r w:rsidR="00A93C54">
        <w:t>C</w:t>
      </w:r>
      <w:r w:rsidRPr="00662D49">
        <w:t>ompeting priorities that are ignored for the sake of bottom-line pursuits include employee well-being, ethical practices, and</w:t>
      </w:r>
      <w:r w:rsidR="00886933">
        <w:t xml:space="preserve"> other issues such as</w:t>
      </w:r>
      <w:r w:rsidRPr="00662D49">
        <w:t xml:space="preserve"> </w:t>
      </w:r>
      <w:r w:rsidRPr="00886933">
        <w:t>environment</w:t>
      </w:r>
      <w:r w:rsidR="00756567" w:rsidRPr="00886933">
        <w:t>al</w:t>
      </w:r>
      <w:r w:rsidRPr="00886933">
        <w:t xml:space="preserve"> responsibility</w:t>
      </w:r>
      <w:r w:rsidR="00886933" w:rsidRPr="00886933">
        <w:t xml:space="preserve"> or sustainability</w:t>
      </w:r>
      <w:r w:rsidRPr="00662D49">
        <w:t xml:space="preserve"> (</w:t>
      </w:r>
      <w:r w:rsidR="000F2BD0" w:rsidRPr="00662D49">
        <w:t>Greenbaum et al., 2012</w:t>
      </w:r>
      <w:r w:rsidR="000F2BD0">
        <w:t xml:space="preserve">; </w:t>
      </w:r>
      <w:r w:rsidRPr="00662D49">
        <w:t xml:space="preserve">Wolfe, 1988). It would seem, therefore, that this type of one-dimensional approach to business </w:t>
      </w:r>
      <w:r w:rsidR="00DC7BD0">
        <w:t>could be</w:t>
      </w:r>
      <w:r w:rsidR="00DC7BD0" w:rsidRPr="00662D49">
        <w:t xml:space="preserve"> </w:t>
      </w:r>
      <w:r w:rsidRPr="00662D49">
        <w:t xml:space="preserve">detrimental to the organization and its stakeholders. Unfortunately, little is actually known about this phenomenon at the </w:t>
      </w:r>
      <w:r w:rsidR="00AA396B">
        <w:t>individual</w:t>
      </w:r>
      <w:r w:rsidRPr="00662D49">
        <w:t xml:space="preserve"> level; that is, how employees perceive their direct supervisors who operate with a BLM and how those employees will subsequently perform.</w:t>
      </w:r>
    </w:p>
    <w:p w14:paraId="25ED7BF4" w14:textId="764830B3" w:rsidR="00E74551" w:rsidRPr="00867E10" w:rsidRDefault="00883735" w:rsidP="00E74551">
      <w:pPr>
        <w:spacing w:line="480" w:lineRule="auto"/>
        <w:ind w:firstLine="720"/>
        <w:rPr>
          <w:highlight w:val="yellow"/>
        </w:rPr>
      </w:pPr>
      <w:r>
        <w:t>Research shows that the att</w:t>
      </w:r>
      <w:r w:rsidR="00EC3B39">
        <w:t>itudes and behaviors of supervisors</w:t>
      </w:r>
      <w:r>
        <w:t xml:space="preserve"> play an important role in influencing employee attitudes</w:t>
      </w:r>
      <w:r w:rsidR="00E27CFF">
        <w:t>, perceptions,</w:t>
      </w:r>
      <w:r>
        <w:t xml:space="preserve"> and behaviors (</w:t>
      </w:r>
      <w:r w:rsidRPr="0035537A">
        <w:t>Duffy</w:t>
      </w:r>
      <w:r w:rsidR="00EF354D">
        <w:t xml:space="preserve"> et al.</w:t>
      </w:r>
      <w:r>
        <w:t>, 2002;</w:t>
      </w:r>
      <w:r w:rsidRPr="0035537A">
        <w:t xml:space="preserve"> </w:t>
      </w:r>
      <w:r>
        <w:t xml:space="preserve">Skarlicki </w:t>
      </w:r>
      <w:r w:rsidR="00EF354D">
        <w:t>and</w:t>
      </w:r>
      <w:r w:rsidRPr="0035537A">
        <w:t xml:space="preserve"> Folger, </w:t>
      </w:r>
      <w:r w:rsidR="00367967">
        <w:t>1997</w:t>
      </w:r>
      <w:r w:rsidR="00E25EAC">
        <w:t>; Zellars</w:t>
      </w:r>
      <w:r w:rsidR="00EF354D">
        <w:t xml:space="preserve"> et al.</w:t>
      </w:r>
      <w:r w:rsidR="00E25EAC">
        <w:t>, 2002</w:t>
      </w:r>
      <w:r>
        <w:t>).</w:t>
      </w:r>
      <w:r w:rsidR="00367967">
        <w:t xml:space="preserve"> </w:t>
      </w:r>
      <w:r w:rsidR="00367967" w:rsidRPr="00367967">
        <w:t xml:space="preserve">As such, </w:t>
      </w:r>
      <w:r w:rsidR="002300B7">
        <w:t>we suspect employees who perceive supervisors</w:t>
      </w:r>
      <w:r w:rsidR="00BE44B7">
        <w:t xml:space="preserve"> to</w:t>
      </w:r>
      <w:r w:rsidR="002300B7">
        <w:t xml:space="preserve"> have a solitary</w:t>
      </w:r>
      <w:r w:rsidR="00367967" w:rsidRPr="00367967">
        <w:t xml:space="preserve"> priority </w:t>
      </w:r>
      <w:r w:rsidR="002300B7">
        <w:t>of</w:t>
      </w:r>
      <w:r w:rsidR="002300B7" w:rsidRPr="00367967">
        <w:t xml:space="preserve"> </w:t>
      </w:r>
      <w:r w:rsidR="00367967" w:rsidRPr="00367967">
        <w:t xml:space="preserve">pursuing the bottom line, often at the exclusion of also seeking employee well-being, </w:t>
      </w:r>
      <w:r w:rsidR="002300B7">
        <w:t>may be</w:t>
      </w:r>
      <w:r w:rsidR="00367967" w:rsidRPr="00367967">
        <w:t xml:space="preserve"> influence</w:t>
      </w:r>
      <w:r w:rsidR="002300B7">
        <w:t>d</w:t>
      </w:r>
      <w:r w:rsidR="00367967" w:rsidRPr="00367967">
        <w:t xml:space="preserve"> in significant ways. </w:t>
      </w:r>
      <w:r w:rsidR="00B90761" w:rsidRPr="00367967">
        <w:t xml:space="preserve">Indeed, extant empirical work on BLM has </w:t>
      </w:r>
      <w:r w:rsidR="00367967">
        <w:t xml:space="preserve">revealed the influence </w:t>
      </w:r>
      <w:r w:rsidR="00367967" w:rsidRPr="00367967">
        <w:t xml:space="preserve">supervisor BLM </w:t>
      </w:r>
      <w:r w:rsidR="00E25EAC">
        <w:t>can have on</w:t>
      </w:r>
      <w:r w:rsidR="00367967" w:rsidRPr="00367967">
        <w:t xml:space="preserve"> </w:t>
      </w:r>
      <w:r w:rsidR="00B1479F">
        <w:t>workplace</w:t>
      </w:r>
      <w:r w:rsidR="00B1479F" w:rsidRPr="00367967">
        <w:t xml:space="preserve"> </w:t>
      </w:r>
      <w:r w:rsidR="00367967" w:rsidRPr="00367967">
        <w:t>behaviors</w:t>
      </w:r>
      <w:r w:rsidR="00571A8C">
        <w:t xml:space="preserve">, such as </w:t>
      </w:r>
      <w:r w:rsidR="0094028E">
        <w:t xml:space="preserve">coworker </w:t>
      </w:r>
      <w:r w:rsidR="00571A8C">
        <w:t>undermining (Greenbaum et al., 2012)</w:t>
      </w:r>
      <w:r w:rsidR="004F1657">
        <w:t xml:space="preserve">, </w:t>
      </w:r>
      <w:r w:rsidR="00ED69FE">
        <w:t>unethical pro-leader behaviors (</w:t>
      </w:r>
      <w:r w:rsidR="00ED69FE" w:rsidRPr="00ED69FE">
        <w:t>Mesdaghinia</w:t>
      </w:r>
      <w:r w:rsidR="00EF354D">
        <w:t xml:space="preserve"> et al.</w:t>
      </w:r>
      <w:r w:rsidR="00ED69FE" w:rsidRPr="00ED69FE">
        <w:t>, 2018</w:t>
      </w:r>
      <w:r w:rsidR="00ED69FE">
        <w:t xml:space="preserve">), </w:t>
      </w:r>
      <w:r w:rsidR="004F1657">
        <w:t>abusive supervision (Mawritz</w:t>
      </w:r>
      <w:r w:rsidR="00EF354D">
        <w:t xml:space="preserve"> et al.</w:t>
      </w:r>
      <w:r w:rsidR="004F1657">
        <w:t>, 2017), and exemplification behaviors (Bonner</w:t>
      </w:r>
      <w:r w:rsidR="00EF354D">
        <w:t xml:space="preserve"> et al.</w:t>
      </w:r>
      <w:r w:rsidR="004F1657">
        <w:t>, 2017).</w:t>
      </w:r>
      <w:r w:rsidR="002300B7">
        <w:t xml:space="preserve"> </w:t>
      </w:r>
      <w:r w:rsidR="00B1479F">
        <w:t xml:space="preserve">To date, BLM research has focused mainly on the impact of </w:t>
      </w:r>
      <w:r w:rsidR="00ED69FE">
        <w:t xml:space="preserve">supervisor BLM on specific supervisor and employee </w:t>
      </w:r>
      <w:r w:rsidR="005D3ACD">
        <w:t>behaviors</w:t>
      </w:r>
      <w:r w:rsidR="00B1479F">
        <w:t xml:space="preserve">. </w:t>
      </w:r>
      <w:r w:rsidR="00553269">
        <w:t>Yet,</w:t>
      </w:r>
      <w:r w:rsidR="004D70C7">
        <w:t xml:space="preserve"> we know </w:t>
      </w:r>
      <w:r w:rsidR="00553269">
        <w:t xml:space="preserve">employee </w:t>
      </w:r>
      <w:r w:rsidR="004D70C7">
        <w:t xml:space="preserve">perceptions of </w:t>
      </w:r>
      <w:r w:rsidR="00553269">
        <w:t>l</w:t>
      </w:r>
      <w:r w:rsidR="0010685E">
        <w:t xml:space="preserve">eaders </w:t>
      </w:r>
      <w:r w:rsidR="004D70C7">
        <w:t xml:space="preserve">also strongly influence </w:t>
      </w:r>
      <w:r w:rsidR="00553269">
        <w:t xml:space="preserve">subsequent </w:t>
      </w:r>
      <w:r w:rsidR="004D70C7">
        <w:t>behaviors</w:t>
      </w:r>
      <w:r w:rsidR="00553269">
        <w:t xml:space="preserve"> (</w:t>
      </w:r>
      <w:r w:rsidR="00751126">
        <w:t xml:space="preserve">e.g., </w:t>
      </w:r>
      <w:r w:rsidR="00E27CFF">
        <w:t>Moorman</w:t>
      </w:r>
      <w:r w:rsidR="00EF354D">
        <w:t xml:space="preserve"> et al.</w:t>
      </w:r>
      <w:r w:rsidR="00E27CFF">
        <w:t xml:space="preserve">, 1998; </w:t>
      </w:r>
      <w:r w:rsidR="00751126">
        <w:t>Walumbwa</w:t>
      </w:r>
      <w:r w:rsidR="00EF354D">
        <w:t xml:space="preserve"> et al.</w:t>
      </w:r>
      <w:r w:rsidR="00751126">
        <w:t>, 2011</w:t>
      </w:r>
      <w:r w:rsidR="00553269">
        <w:t>)</w:t>
      </w:r>
      <w:r w:rsidR="004D70C7">
        <w:t xml:space="preserve">. </w:t>
      </w:r>
      <w:r w:rsidR="00B35DCB" w:rsidRPr="00367967">
        <w:lastRenderedPageBreak/>
        <w:t>However</w:t>
      </w:r>
      <w:r w:rsidR="00B90761" w:rsidRPr="00367967">
        <w:t xml:space="preserve">, </w:t>
      </w:r>
      <w:r w:rsidR="00A93C54">
        <w:t xml:space="preserve">past </w:t>
      </w:r>
      <w:r w:rsidR="00553269">
        <w:t>BLM</w:t>
      </w:r>
      <w:r w:rsidR="00F40D46">
        <w:t xml:space="preserve"> </w:t>
      </w:r>
      <w:r w:rsidR="00A93C54">
        <w:t>rese</w:t>
      </w:r>
      <w:r w:rsidR="00F40D46">
        <w:t>ar</w:t>
      </w:r>
      <w:r w:rsidR="00A93C54">
        <w:t>ch</w:t>
      </w:r>
      <w:r w:rsidR="00B35DCB" w:rsidRPr="00367967">
        <w:t xml:space="preserve"> has </w:t>
      </w:r>
      <w:r w:rsidR="00F40A77" w:rsidRPr="00367967">
        <w:t>offered little</w:t>
      </w:r>
      <w:r w:rsidR="00450427">
        <w:t xml:space="preserve"> explanation</w:t>
      </w:r>
      <w:r w:rsidR="00F40A77" w:rsidRPr="00367967">
        <w:t xml:space="preserve"> </w:t>
      </w:r>
      <w:r w:rsidR="00487F50" w:rsidRPr="00367967">
        <w:t>in terms of</w:t>
      </w:r>
      <w:r w:rsidR="00F40A77" w:rsidRPr="00367967">
        <w:t xml:space="preserve"> </w:t>
      </w:r>
      <w:r w:rsidR="00F40A77" w:rsidRPr="00AA396B">
        <w:rPr>
          <w:i/>
        </w:rPr>
        <w:t>how</w:t>
      </w:r>
      <w:r w:rsidR="00F40A77" w:rsidRPr="00367967">
        <w:t xml:space="preserve"> employees </w:t>
      </w:r>
      <w:r w:rsidR="00FA3EF7" w:rsidRPr="00367967">
        <w:t>perceive</w:t>
      </w:r>
      <w:r w:rsidR="00F40A77" w:rsidRPr="00367967">
        <w:t xml:space="preserve"> supervisors who</w:t>
      </w:r>
      <w:r w:rsidR="00AA396B">
        <w:t xml:space="preserve"> they believe</w:t>
      </w:r>
      <w:r w:rsidR="00F40A77" w:rsidRPr="00367967">
        <w:t xml:space="preserve"> hold a BLM</w:t>
      </w:r>
      <w:r w:rsidR="00FA3EF7" w:rsidRPr="00367967">
        <w:t xml:space="preserve"> and the behavioral responses </w:t>
      </w:r>
      <w:r w:rsidR="00367967" w:rsidRPr="00367967">
        <w:t>those perceptions</w:t>
      </w:r>
      <w:r w:rsidR="00FA3EF7" w:rsidRPr="00367967">
        <w:t xml:space="preserve"> engender</w:t>
      </w:r>
      <w:r w:rsidR="00AA396B">
        <w:t xml:space="preserve"> from the employee</w:t>
      </w:r>
      <w:r w:rsidR="00F40A77" w:rsidRPr="00367967">
        <w:t xml:space="preserve">. </w:t>
      </w:r>
    </w:p>
    <w:p w14:paraId="2FFA6389" w14:textId="5909021E" w:rsidR="00E52095" w:rsidRDefault="00641CDB" w:rsidP="00D14703">
      <w:pPr>
        <w:spacing w:line="480" w:lineRule="auto"/>
        <w:ind w:firstLine="720"/>
      </w:pPr>
      <w:r w:rsidRPr="00F66E69">
        <w:t xml:space="preserve">We draw on </w:t>
      </w:r>
      <w:r w:rsidR="00E25EAC">
        <w:t>social exchange</w:t>
      </w:r>
      <w:r w:rsidR="00EC3B39" w:rsidRPr="00F66E69">
        <w:t xml:space="preserve"> theory</w:t>
      </w:r>
      <w:r w:rsidR="00E25EAC">
        <w:t xml:space="preserve"> (</w:t>
      </w:r>
      <w:r w:rsidR="00E25EAC" w:rsidRPr="00956C37">
        <w:t>Blau, 1964</w:t>
      </w:r>
      <w:r w:rsidR="00E25EAC">
        <w:t>)</w:t>
      </w:r>
      <w:r w:rsidR="00F40D46">
        <w:t xml:space="preserve"> and BLM theorizing</w:t>
      </w:r>
      <w:r w:rsidR="00EC3B39" w:rsidRPr="00F66E69">
        <w:t xml:space="preserve"> </w:t>
      </w:r>
      <w:r w:rsidRPr="00F66E69">
        <w:t xml:space="preserve">to </w:t>
      </w:r>
      <w:r w:rsidR="00D61781" w:rsidRPr="00F66E69">
        <w:t xml:space="preserve">investigate the adverse consequences of supervisor BLM </w:t>
      </w:r>
      <w:r w:rsidR="00EC3B39" w:rsidRPr="00F66E69">
        <w:t>on</w:t>
      </w:r>
      <w:r w:rsidR="00D61781" w:rsidRPr="00F66E69">
        <w:t xml:space="preserve"> employees</w:t>
      </w:r>
      <w:r w:rsidR="00D84FF0" w:rsidRPr="00F66E69">
        <w:t>’</w:t>
      </w:r>
      <w:r w:rsidR="00EC3B39" w:rsidRPr="00F66E69">
        <w:t xml:space="preserve"> perceptions</w:t>
      </w:r>
      <w:r w:rsidR="004C139A">
        <w:t xml:space="preserve"> of those supervisors and employees’</w:t>
      </w:r>
      <w:r w:rsidR="00EC3B39" w:rsidRPr="00F66E69">
        <w:t xml:space="preserve"> subsequent performance</w:t>
      </w:r>
      <w:r w:rsidR="00D61781" w:rsidRPr="00F66E69">
        <w:t xml:space="preserve">. We contend </w:t>
      </w:r>
      <w:r w:rsidR="00681B56" w:rsidRPr="00F66E69">
        <w:t xml:space="preserve">higher levels of </w:t>
      </w:r>
      <w:r w:rsidR="00D61781" w:rsidRPr="00F66E69">
        <w:t xml:space="preserve">supervisor BLM </w:t>
      </w:r>
      <w:r w:rsidR="00575C2B" w:rsidRPr="00F66E69">
        <w:t>may</w:t>
      </w:r>
      <w:r w:rsidR="00D61781" w:rsidRPr="00F66E69">
        <w:t xml:space="preserve"> result in employee </w:t>
      </w:r>
      <w:r w:rsidR="00D84FF0" w:rsidRPr="00F66E69">
        <w:t>behaviors</w:t>
      </w:r>
      <w:r w:rsidR="00D61781" w:rsidRPr="00F66E69">
        <w:t xml:space="preserve"> that</w:t>
      </w:r>
      <w:r w:rsidR="00A84241" w:rsidRPr="00F66E69">
        <w:t>, ironically,</w:t>
      </w:r>
      <w:r w:rsidR="00D61781" w:rsidRPr="00F66E69">
        <w:t xml:space="preserve"> </w:t>
      </w:r>
      <w:r w:rsidR="00D84FF0" w:rsidRPr="00F66E69">
        <w:t>hurt rather than support the</w:t>
      </w:r>
      <w:r w:rsidR="00D61781" w:rsidRPr="00F66E69">
        <w:t xml:space="preserve"> organization’s bottom line. More specifically, we </w:t>
      </w:r>
      <w:r w:rsidR="00B022D8" w:rsidRPr="00F66E69">
        <w:t xml:space="preserve">believe </w:t>
      </w:r>
      <w:r w:rsidR="00D61781" w:rsidRPr="00F66E69">
        <w:t xml:space="preserve">supervisors </w:t>
      </w:r>
      <w:r w:rsidR="00C759DC" w:rsidRPr="00F66E69">
        <w:t xml:space="preserve">who hold a BLM, </w:t>
      </w:r>
      <w:r w:rsidR="00D61781" w:rsidRPr="00F66E69">
        <w:t xml:space="preserve">signal to employees that bottom-line outcomes </w:t>
      </w:r>
      <w:r w:rsidR="002661D7">
        <w:t xml:space="preserve">and task performance </w:t>
      </w:r>
      <w:r w:rsidR="00D61781" w:rsidRPr="00F66E69">
        <w:t>should be focused on at the exclusion of other organizational interests</w:t>
      </w:r>
      <w:r w:rsidR="002661D7">
        <w:t xml:space="preserve"> (Mawritz et al., 2017)</w:t>
      </w:r>
      <w:r w:rsidR="00D61781" w:rsidRPr="00F66E69">
        <w:t>. As a result, these types of supervisors serve as poor exchange partners</w:t>
      </w:r>
      <w:r w:rsidR="00AC5586" w:rsidRPr="00F66E69">
        <w:t xml:space="preserve">, </w:t>
      </w:r>
      <w:r w:rsidR="002661D7">
        <w:t xml:space="preserve">and </w:t>
      </w:r>
      <w:r w:rsidR="002661D7" w:rsidRPr="002661D7">
        <w:t>employees reciprocate by decreasing the very thing the supervisor wants most</w:t>
      </w:r>
      <w:r w:rsidR="00AA396B">
        <w:t>—performance</w:t>
      </w:r>
      <w:r w:rsidR="00D61781" w:rsidRPr="00F66E69">
        <w:t xml:space="preserve">. </w:t>
      </w:r>
      <w:r w:rsidR="00450427">
        <w:t>Therefore, o</w:t>
      </w:r>
      <w:r w:rsidR="001825A8">
        <w:t xml:space="preserve">ur model </w:t>
      </w:r>
      <w:r w:rsidR="00450427">
        <w:t>propose</w:t>
      </w:r>
      <w:r w:rsidR="001825A8">
        <w:t xml:space="preserve">s that </w:t>
      </w:r>
      <w:r w:rsidR="00D07FE5">
        <w:t>supervisor BLM</w:t>
      </w:r>
      <w:r w:rsidR="001825A8">
        <w:t xml:space="preserve"> ha</w:t>
      </w:r>
      <w:r w:rsidR="00D07FE5">
        <w:t>s</w:t>
      </w:r>
      <w:r w:rsidR="001825A8">
        <w:t xml:space="preserve"> a negative indirect effect on employee performance as a result of employees’ perceptions of a low-quality social exchange relationship (operationalized </w:t>
      </w:r>
      <w:r w:rsidR="00AA396B">
        <w:t xml:space="preserve">in our model </w:t>
      </w:r>
      <w:r w:rsidR="001825A8">
        <w:t>as leader-member exchange</w:t>
      </w:r>
      <w:r w:rsidR="00D14703">
        <w:t>; LMX</w:t>
      </w:r>
      <w:r w:rsidR="001825A8">
        <w:t xml:space="preserve">). </w:t>
      </w:r>
      <w:r w:rsidR="001825A8" w:rsidRPr="00F66E69">
        <w:t xml:space="preserve">We </w:t>
      </w:r>
      <w:r w:rsidR="001825A8">
        <w:t>also</w:t>
      </w:r>
      <w:r w:rsidR="001825A8" w:rsidRPr="00F66E69">
        <w:t xml:space="preserve"> argue the extent to which supervisor BLM will reduce employee perceptions of </w:t>
      </w:r>
      <w:r w:rsidR="001825A8">
        <w:t>the exchange relationship and subsequent performance</w:t>
      </w:r>
      <w:r w:rsidR="001825A8" w:rsidRPr="00F66E69">
        <w:t xml:space="preserve"> will be impacted by the employee’s own level of BLM</w:t>
      </w:r>
      <w:r w:rsidR="00AA396B">
        <w:t xml:space="preserve"> (see Figure 1)</w:t>
      </w:r>
      <w:r w:rsidR="001825A8" w:rsidRPr="00F66E69">
        <w:t>.</w:t>
      </w:r>
      <w:r w:rsidR="00D14703">
        <w:t xml:space="preserve"> </w:t>
      </w:r>
      <w:r w:rsidR="00AA396B">
        <w:t>This is in line with</w:t>
      </w:r>
      <w:r w:rsidR="00AB35E6">
        <w:t xml:space="preserve"> extant r</w:t>
      </w:r>
      <w:r w:rsidR="00D14703">
        <w:t xml:space="preserve">esearch </w:t>
      </w:r>
      <w:r w:rsidR="00AA396B">
        <w:t xml:space="preserve">that </w:t>
      </w:r>
      <w:r w:rsidR="00E632CB">
        <w:t>finds</w:t>
      </w:r>
      <w:r w:rsidR="00D14703">
        <w:t xml:space="preserve"> perceived similarity between the supervisor and employee influences employee perceptions of LMX</w:t>
      </w:r>
      <w:r w:rsidR="00E632CB">
        <w:t xml:space="preserve"> (</w:t>
      </w:r>
      <w:r w:rsidR="00AA396B">
        <w:t xml:space="preserve">e.g., </w:t>
      </w:r>
      <w:r w:rsidR="00E632CB" w:rsidRPr="008E7538">
        <w:t>Dulebohn</w:t>
      </w:r>
      <w:r w:rsidR="00EF354D">
        <w:t xml:space="preserve"> et al.</w:t>
      </w:r>
      <w:r w:rsidR="00E632CB">
        <w:t>, 2012)</w:t>
      </w:r>
      <w:r w:rsidR="00D14703">
        <w:t>.</w:t>
      </w:r>
    </w:p>
    <w:p w14:paraId="33C94893" w14:textId="3705E5AB" w:rsidR="00E52095" w:rsidRPr="00D71AC7" w:rsidRDefault="00E52095" w:rsidP="00E52095">
      <w:pPr>
        <w:contextualSpacing/>
        <w:jc w:val="center"/>
      </w:pPr>
      <w:r>
        <w:t>-</w:t>
      </w:r>
      <w:r w:rsidRPr="00D71AC7">
        <w:t>----------------------------------------------</w:t>
      </w:r>
    </w:p>
    <w:p w14:paraId="4BF20605" w14:textId="726196FA" w:rsidR="00E52095" w:rsidRPr="00D71AC7" w:rsidRDefault="00E52095" w:rsidP="00E52095">
      <w:pPr>
        <w:contextualSpacing/>
        <w:jc w:val="center"/>
        <w:rPr>
          <w:szCs w:val="24"/>
        </w:rPr>
      </w:pPr>
      <w:r w:rsidRPr="00D71AC7">
        <w:rPr>
          <w:szCs w:val="24"/>
        </w:rPr>
        <w:t xml:space="preserve">Insert </w:t>
      </w:r>
      <w:r>
        <w:rPr>
          <w:szCs w:val="24"/>
        </w:rPr>
        <w:t>Figure 1</w:t>
      </w:r>
      <w:r w:rsidRPr="00D71AC7">
        <w:rPr>
          <w:szCs w:val="24"/>
        </w:rPr>
        <w:t xml:space="preserve"> about here</w:t>
      </w:r>
    </w:p>
    <w:p w14:paraId="4217B5A0" w14:textId="7848B4FF" w:rsidR="00AC5586" w:rsidRDefault="00E52095" w:rsidP="00E52095">
      <w:pPr>
        <w:spacing w:line="480" w:lineRule="auto"/>
        <w:jc w:val="center"/>
      </w:pPr>
      <w:r w:rsidRPr="00D71AC7">
        <w:rPr>
          <w:szCs w:val="24"/>
        </w:rPr>
        <w:t>-</w:t>
      </w:r>
      <w:r>
        <w:rPr>
          <w:szCs w:val="24"/>
        </w:rPr>
        <w:t>-</w:t>
      </w:r>
      <w:r w:rsidRPr="00D71AC7">
        <w:rPr>
          <w:szCs w:val="24"/>
        </w:rPr>
        <w:t>---------------------------------------------</w:t>
      </w:r>
    </w:p>
    <w:p w14:paraId="00479838" w14:textId="7D0F69EF" w:rsidR="00471398" w:rsidRDefault="00487F50" w:rsidP="0070694D">
      <w:pPr>
        <w:spacing w:line="480" w:lineRule="auto"/>
        <w:ind w:firstLine="720"/>
      </w:pPr>
      <w:r w:rsidRPr="00EC6D7B">
        <w:t>Until recently, research on BLM was largely conceptual (</w:t>
      </w:r>
      <w:r w:rsidR="00F66E69" w:rsidRPr="00EC6D7B">
        <w:t xml:space="preserve">Barsky, 2008; </w:t>
      </w:r>
      <w:r w:rsidRPr="00EC6D7B">
        <w:t xml:space="preserve">Callahan, 2004; </w:t>
      </w:r>
      <w:r w:rsidR="00F66E69" w:rsidRPr="00EC6D7B">
        <w:t xml:space="preserve">Kerr, 1975; </w:t>
      </w:r>
      <w:r w:rsidRPr="00EC6D7B">
        <w:t>Sims, 1992; Wolfe, 1988). The emergence of a measure for BLM (Greenbaum et al., 201</w:t>
      </w:r>
      <w:r w:rsidR="006960DD" w:rsidRPr="00EC6D7B">
        <w:t>2</w:t>
      </w:r>
      <w:r w:rsidRPr="00EC6D7B">
        <w:t>) has allowed management scholars to begin investigating BLM more fully (</w:t>
      </w:r>
      <w:r w:rsidR="003C7AB3" w:rsidRPr="00EC6D7B">
        <w:t xml:space="preserve">e.g., </w:t>
      </w:r>
      <w:r w:rsidR="002759AD" w:rsidRPr="00EC6D7B">
        <w:t>Bonner</w:t>
      </w:r>
      <w:r w:rsidR="002D12E2" w:rsidRPr="00EC6D7B">
        <w:t xml:space="preserve"> et </w:t>
      </w:r>
      <w:r w:rsidR="002D12E2" w:rsidRPr="00EC6D7B">
        <w:lastRenderedPageBreak/>
        <w:t>al.</w:t>
      </w:r>
      <w:r w:rsidR="002759AD" w:rsidRPr="00EC6D7B">
        <w:t xml:space="preserve">, </w:t>
      </w:r>
      <w:r w:rsidR="00CF7FEC" w:rsidRPr="00EC6D7B">
        <w:t>2017</w:t>
      </w:r>
      <w:r w:rsidR="002759AD" w:rsidRPr="00EC6D7B">
        <w:t xml:space="preserve">; </w:t>
      </w:r>
      <w:r w:rsidR="00ED69FE">
        <w:t>Eissa</w:t>
      </w:r>
      <w:r w:rsidR="00EF354D">
        <w:t xml:space="preserve"> et al.</w:t>
      </w:r>
      <w:r w:rsidR="00ED69FE">
        <w:t xml:space="preserve">, </w:t>
      </w:r>
      <w:r w:rsidR="00ED69FE" w:rsidRPr="00ED69FE">
        <w:t>2018</w:t>
      </w:r>
      <w:r w:rsidR="00ED69FE">
        <w:t xml:space="preserve">; </w:t>
      </w:r>
      <w:r w:rsidRPr="00EC6D7B">
        <w:t>Mawritz</w:t>
      </w:r>
      <w:r w:rsidR="002D12E2" w:rsidRPr="00EC6D7B">
        <w:t xml:space="preserve"> et al.</w:t>
      </w:r>
      <w:r w:rsidRPr="00EC6D7B">
        <w:t xml:space="preserve">, </w:t>
      </w:r>
      <w:r w:rsidR="00CF7FEC" w:rsidRPr="00EC6D7B">
        <w:t>2017</w:t>
      </w:r>
      <w:r w:rsidR="00BF23A5">
        <w:t>; Mesdaghinia</w:t>
      </w:r>
      <w:r w:rsidR="009A743D">
        <w:t xml:space="preserve"> et al.</w:t>
      </w:r>
      <w:r w:rsidR="003B06B8">
        <w:t>, 2018</w:t>
      </w:r>
      <w:r w:rsidRPr="00EC6D7B">
        <w:t xml:space="preserve">); yet, we are still in the early stages of understanding the full impact of both supervisor and employee BLM </w:t>
      </w:r>
      <w:r w:rsidR="00E62E32">
        <w:t xml:space="preserve">at </w:t>
      </w:r>
      <w:r w:rsidR="00193BB3">
        <w:t>the individual</w:t>
      </w:r>
      <w:r w:rsidR="00F66E69" w:rsidRPr="00EC6D7B">
        <w:t xml:space="preserve"> level</w:t>
      </w:r>
      <w:r w:rsidRPr="00EC6D7B">
        <w:t xml:space="preserve">. </w:t>
      </w:r>
      <w:r w:rsidR="00450427">
        <w:t>Our</w:t>
      </w:r>
      <w:r w:rsidR="00450427" w:rsidRPr="00EC6D7B">
        <w:t xml:space="preserve"> </w:t>
      </w:r>
      <w:r w:rsidRPr="00EC6D7B">
        <w:t xml:space="preserve">research </w:t>
      </w:r>
      <w:r w:rsidR="00471398">
        <w:t xml:space="preserve">contributes to the literature, first, by </w:t>
      </w:r>
      <w:r w:rsidRPr="00EC6D7B">
        <w:t>expand</w:t>
      </w:r>
      <w:r w:rsidR="00471398">
        <w:t>ing</w:t>
      </w:r>
      <w:r w:rsidRPr="00EC6D7B">
        <w:t xml:space="preserve"> the nomological network of BLM by identifying </w:t>
      </w:r>
      <w:r w:rsidR="00F66E69" w:rsidRPr="00EC6D7B">
        <w:t xml:space="preserve">a </w:t>
      </w:r>
      <w:r w:rsidRPr="00EC6D7B">
        <w:t xml:space="preserve">damaging </w:t>
      </w:r>
      <w:r w:rsidR="00F66E69" w:rsidRPr="00EC6D7B">
        <w:t>outcome for organizational vitality</w:t>
      </w:r>
      <w:r w:rsidR="00AA396B">
        <w:t xml:space="preserve"> (i.e., </w:t>
      </w:r>
      <w:r w:rsidR="00193BB3">
        <w:t>reduced</w:t>
      </w:r>
      <w:r w:rsidR="00F66E69" w:rsidRPr="00EC6D7B">
        <w:t xml:space="preserve"> employee performance</w:t>
      </w:r>
      <w:r w:rsidR="00AA396B">
        <w:t>)</w:t>
      </w:r>
      <w:r w:rsidR="00F66E69" w:rsidRPr="00EC6D7B">
        <w:t>. A</w:t>
      </w:r>
      <w:r w:rsidRPr="00EC6D7B">
        <w:t>s such</w:t>
      </w:r>
      <w:r w:rsidR="00F66E69" w:rsidRPr="00EC6D7B">
        <w:t>,</w:t>
      </w:r>
      <w:r w:rsidRPr="00EC6D7B">
        <w:t xml:space="preserve"> we hope to </w:t>
      </w:r>
      <w:r w:rsidR="00450427">
        <w:t>inform</w:t>
      </w:r>
      <w:r w:rsidRPr="00EC6D7B">
        <w:t xml:space="preserve"> scholars and practitioners </w:t>
      </w:r>
      <w:r w:rsidR="00450427">
        <w:t xml:space="preserve">of </w:t>
      </w:r>
      <w:r w:rsidRPr="00EC6D7B">
        <w:t xml:space="preserve">the potential danger of supervisors focusing exclusively on bottom-line outcomes at the expense of other important organizational considerations. </w:t>
      </w:r>
    </w:p>
    <w:p w14:paraId="11044A65" w14:textId="102A53D4" w:rsidR="002350DA" w:rsidRDefault="00193BB3" w:rsidP="0070694D">
      <w:pPr>
        <w:spacing w:line="480" w:lineRule="auto"/>
        <w:ind w:firstLine="720"/>
      </w:pPr>
      <w:r>
        <w:t>Next</w:t>
      </w:r>
      <w:r w:rsidR="00471398">
        <w:t>, we examine how employees perceive their relationship with a BLM supervisor and how this perception influences subsequent behavioral responses. B</w:t>
      </w:r>
      <w:r w:rsidR="00487F50" w:rsidRPr="00EC6D7B">
        <w:t xml:space="preserve">y examining </w:t>
      </w:r>
      <w:r w:rsidR="009313DA" w:rsidRPr="00EC6D7B">
        <w:t xml:space="preserve">the employees’ </w:t>
      </w:r>
      <w:r w:rsidR="00EC6D7B" w:rsidRPr="00EC6D7B">
        <w:t xml:space="preserve">perception of the </w:t>
      </w:r>
      <w:r w:rsidR="007621D2">
        <w:t>LMX</w:t>
      </w:r>
      <w:r w:rsidR="0025546C">
        <w:t xml:space="preserve"> </w:t>
      </w:r>
      <w:r w:rsidR="00EC6D7B" w:rsidRPr="00EC6D7B">
        <w:t>relationship</w:t>
      </w:r>
      <w:r w:rsidR="00487F50" w:rsidRPr="00EC6D7B">
        <w:t xml:space="preserve">, we provide an explanation as to </w:t>
      </w:r>
      <w:r w:rsidR="00EC6D7B" w:rsidRPr="00EC6D7B">
        <w:rPr>
          <w:i/>
        </w:rPr>
        <w:t>how</w:t>
      </w:r>
      <w:r w:rsidR="00EC6D7B" w:rsidRPr="00EC6D7B">
        <w:t xml:space="preserve"> employees view these types of supervisors and thereby </w:t>
      </w:r>
      <w:r w:rsidR="00487F50" w:rsidRPr="00EC6D7B">
        <w:rPr>
          <w:i/>
        </w:rPr>
        <w:t>why</w:t>
      </w:r>
      <w:r w:rsidR="00487F50" w:rsidRPr="00EC6D7B">
        <w:t xml:space="preserve"> higher levels of supervisor BLM may be problematic. </w:t>
      </w:r>
      <w:r w:rsidR="002350DA">
        <w:t xml:space="preserve">We argue that </w:t>
      </w:r>
      <w:r w:rsidR="00FE3CE3">
        <w:t>while</w:t>
      </w:r>
      <w:r w:rsidR="002350DA">
        <w:t xml:space="preserve"> </w:t>
      </w:r>
      <w:r w:rsidR="00D07FE5">
        <w:t>high-</w:t>
      </w:r>
      <w:r w:rsidR="002350DA">
        <w:t>BLM supervisors signal to their employees the importance of task performance (Mawritz et al., 2017) they also create low-quality relationships</w:t>
      </w:r>
      <w:r w:rsidR="00B83041">
        <w:t xml:space="preserve">—viewing </w:t>
      </w:r>
      <w:r w:rsidR="002350DA">
        <w:t xml:space="preserve">employees as a means to an end (i.e., bottom-line achievement). </w:t>
      </w:r>
      <w:r w:rsidR="00B83041">
        <w:t>Thus</w:t>
      </w:r>
      <w:r w:rsidR="002350DA">
        <w:t>, employees may withhold high performance from</w:t>
      </w:r>
      <w:r>
        <w:t xml:space="preserve"> a</w:t>
      </w:r>
      <w:r w:rsidR="002350DA">
        <w:t xml:space="preserve"> high</w:t>
      </w:r>
      <w:r w:rsidR="00D07FE5">
        <w:t>-</w:t>
      </w:r>
      <w:r w:rsidR="002350DA">
        <w:t>BLM supervisor as a result of a perceived low-quality exchange relationship</w:t>
      </w:r>
      <w:r w:rsidR="00670C4E">
        <w:t xml:space="preserve"> to maintain balance in the negative reciprocity relationship</w:t>
      </w:r>
      <w:r w:rsidR="00AA396B">
        <w:t xml:space="preserve"> (Gouldner, 1960)</w:t>
      </w:r>
      <w:r w:rsidR="002350DA">
        <w:t>.</w:t>
      </w:r>
    </w:p>
    <w:p w14:paraId="29227513" w14:textId="15B09124" w:rsidR="0070694D" w:rsidRPr="00EC6D7B" w:rsidRDefault="00193BB3" w:rsidP="0070694D">
      <w:pPr>
        <w:spacing w:line="480" w:lineRule="auto"/>
        <w:ind w:firstLine="720"/>
        <w:rPr>
          <w:szCs w:val="24"/>
        </w:rPr>
      </w:pPr>
      <w:r>
        <w:t>Finally</w:t>
      </w:r>
      <w:r w:rsidR="00471398">
        <w:t>, w</w:t>
      </w:r>
      <w:r w:rsidR="00487F50" w:rsidRPr="00EC6D7B">
        <w:t xml:space="preserve">e further contribute by illustrating the role employee BLM plays in this process. Specifically, we seek to understand how employee and supervisor attitudes toward pursuing the bottom-line </w:t>
      </w:r>
      <w:r w:rsidR="00097080">
        <w:t>interact to</w:t>
      </w:r>
      <w:r w:rsidR="00487F50" w:rsidRPr="00EC6D7B">
        <w:t xml:space="preserve"> influence employees’ responses to supervisor BLM. </w:t>
      </w:r>
      <w:r w:rsidR="006C0EC0">
        <w:t>Past BLM research has conceptualized and captured BLM as two distinct constructs, employee BLM and supervisor BLM (Greenbaum et al., 2012), yet, a</w:t>
      </w:r>
      <w:r w:rsidR="0070694D" w:rsidRPr="00EC6D7B">
        <w:t>t present, BLM research only alludes to the interactive effect of supervisor and employee BLM (Bonner et al., 2017</w:t>
      </w:r>
      <w:r w:rsidR="00450427" w:rsidRPr="00EC6D7B">
        <w:t>)</w:t>
      </w:r>
      <w:r w:rsidR="00036871">
        <w:t>. O</w:t>
      </w:r>
      <w:r w:rsidR="00450427">
        <w:t>ur</w:t>
      </w:r>
      <w:r w:rsidR="0070694D" w:rsidRPr="00EC6D7B">
        <w:t xml:space="preserve"> research </w:t>
      </w:r>
      <w:r w:rsidR="00450427">
        <w:t>investigate</w:t>
      </w:r>
      <w:r w:rsidR="002A408A">
        <w:t>s</w:t>
      </w:r>
      <w:r w:rsidR="00450427" w:rsidRPr="00EC6D7B">
        <w:t xml:space="preserve"> </w:t>
      </w:r>
      <w:r w:rsidR="0070694D" w:rsidRPr="00EC6D7B">
        <w:t xml:space="preserve">the effect of </w:t>
      </w:r>
      <w:r w:rsidR="00097080">
        <w:t>employees’ BLM</w:t>
      </w:r>
      <w:r w:rsidR="0070694D" w:rsidRPr="00EC6D7B">
        <w:t xml:space="preserve"> on employees’ perceptions </w:t>
      </w:r>
      <w:r w:rsidR="00BB5C35">
        <w:t xml:space="preserve">of the </w:t>
      </w:r>
      <w:r w:rsidR="00BB5C35" w:rsidRPr="00EC6D7B">
        <w:t xml:space="preserve">quality </w:t>
      </w:r>
      <w:r w:rsidR="00BB5C35">
        <w:t xml:space="preserve">of </w:t>
      </w:r>
      <w:r w:rsidR="00BB5C35" w:rsidRPr="00EC6D7B">
        <w:t xml:space="preserve">exchange </w:t>
      </w:r>
      <w:r w:rsidR="00BB5C35">
        <w:lastRenderedPageBreak/>
        <w:t xml:space="preserve">that occurs with </w:t>
      </w:r>
      <w:r w:rsidR="00D07FE5">
        <w:t>high-</w:t>
      </w:r>
      <w:r w:rsidR="00097080">
        <w:t xml:space="preserve">BLM </w:t>
      </w:r>
      <w:r w:rsidR="0070694D" w:rsidRPr="00EC6D7B">
        <w:t>supervisors.</w:t>
      </w:r>
      <w:r w:rsidR="00D82417">
        <w:t xml:space="preserve"> This also contributes to the LMX literature as researchers have indicated that </w:t>
      </w:r>
      <w:r w:rsidR="00960D2C">
        <w:t xml:space="preserve">employee-leader </w:t>
      </w:r>
      <w:r w:rsidR="00670C4E">
        <w:t>(dis)</w:t>
      </w:r>
      <w:r w:rsidR="00D82417">
        <w:t>similarity is a</w:t>
      </w:r>
      <w:r w:rsidR="00FE3CE3">
        <w:t>n important</w:t>
      </w:r>
      <w:r w:rsidR="00D82417">
        <w:t xml:space="preserve"> component of LMX and </w:t>
      </w:r>
      <w:r w:rsidR="00575EC2">
        <w:t xml:space="preserve">have </w:t>
      </w:r>
      <w:r w:rsidR="00D82417">
        <w:t>called for research to examine the effect of similarity</w:t>
      </w:r>
      <w:r w:rsidR="00FE3CE3">
        <w:t xml:space="preserve">, </w:t>
      </w:r>
      <w:r w:rsidR="00A3365C">
        <w:t>of values or priorities</w:t>
      </w:r>
      <w:r w:rsidR="00FE3CE3">
        <w:t>,</w:t>
      </w:r>
      <w:r w:rsidR="00D82417">
        <w:t xml:space="preserve"> on LMX and subsequent outcomes (</w:t>
      </w:r>
      <w:r w:rsidR="00D82417" w:rsidRPr="00D82417">
        <w:t>Dulebohn</w:t>
      </w:r>
      <w:r w:rsidR="00D82417">
        <w:t xml:space="preserve"> et al., 2012; Liden</w:t>
      </w:r>
      <w:r w:rsidR="00EF354D">
        <w:t xml:space="preserve"> et al.</w:t>
      </w:r>
      <w:r w:rsidR="00D82417">
        <w:t>, 1993).</w:t>
      </w:r>
    </w:p>
    <w:p w14:paraId="5BCF620F" w14:textId="16DD0871" w:rsidR="00D61781" w:rsidRPr="003B06B8" w:rsidRDefault="00CE1FC5" w:rsidP="00F32D7C">
      <w:pPr>
        <w:spacing w:line="480" w:lineRule="auto"/>
        <w:jc w:val="center"/>
      </w:pPr>
      <w:r w:rsidRPr="003B06B8">
        <w:t>Theoretical Overview and Hypotheses</w:t>
      </w:r>
    </w:p>
    <w:p w14:paraId="1F30BC76" w14:textId="3460D5BA" w:rsidR="003B0555" w:rsidRDefault="00D61781" w:rsidP="003B0555">
      <w:pPr>
        <w:spacing w:line="480" w:lineRule="auto"/>
      </w:pPr>
      <w:r w:rsidRPr="003B06B8">
        <w:tab/>
      </w:r>
      <w:r w:rsidR="0030332E">
        <w:t>A core principle of social exchange theory is that as exchanges are made between parties, over time the</w:t>
      </w:r>
      <w:r w:rsidR="00920530">
        <w:t>ir</w:t>
      </w:r>
      <w:r w:rsidR="0030332E">
        <w:t xml:space="preserve"> relationship evolves to encompass trust, </w:t>
      </w:r>
      <w:r w:rsidR="001C6988">
        <w:t>affect</w:t>
      </w:r>
      <w:r w:rsidR="0030332E">
        <w:t xml:space="preserve">, and loyalty (Blau, 1964; </w:t>
      </w:r>
      <w:r w:rsidR="001C6988">
        <w:t xml:space="preserve">Liden et al., 1993; </w:t>
      </w:r>
      <w:r w:rsidR="0030332E">
        <w:t xml:space="preserve">Molm, 2000). </w:t>
      </w:r>
      <w:r w:rsidR="001C6988">
        <w:t>The</w:t>
      </w:r>
      <w:r w:rsidR="0030332E">
        <w:t xml:space="preserve"> exchange relationship between an employee and </w:t>
      </w:r>
      <w:r w:rsidR="0012165A">
        <w:t>a</w:t>
      </w:r>
      <w:r w:rsidR="0030332E">
        <w:t xml:space="preserve"> supervisor is </w:t>
      </w:r>
      <w:r w:rsidR="0012165A">
        <w:t>known</w:t>
      </w:r>
      <w:r w:rsidR="0030332E">
        <w:t xml:space="preserve"> as </w:t>
      </w:r>
      <w:r w:rsidR="00393548">
        <w:t>LMX</w:t>
      </w:r>
      <w:r w:rsidR="0030332E">
        <w:t xml:space="preserve"> (</w:t>
      </w:r>
      <w:r w:rsidR="00920530">
        <w:t>Dansereau</w:t>
      </w:r>
      <w:r w:rsidR="00EF354D">
        <w:t xml:space="preserve"> et al.</w:t>
      </w:r>
      <w:r w:rsidR="00920530">
        <w:t>, 1975</w:t>
      </w:r>
      <w:r w:rsidR="0030332E">
        <w:t xml:space="preserve">). </w:t>
      </w:r>
      <w:r w:rsidR="00FA43F1">
        <w:t>A</w:t>
      </w:r>
      <w:r w:rsidRPr="00FF5A24">
        <w:t xml:space="preserve"> defining characteristic of </w:t>
      </w:r>
      <w:r w:rsidR="00AF1456">
        <w:t xml:space="preserve">any </w:t>
      </w:r>
      <w:r w:rsidRPr="00FF5A24">
        <w:t>social exchange</w:t>
      </w:r>
      <w:r w:rsidR="00AF1456">
        <w:t xml:space="preserve"> relationship</w:t>
      </w:r>
      <w:r w:rsidRPr="00FF5A24">
        <w:t xml:space="preserve"> is an interdependent, bidirectional exchange between the two parties, wherein both parties give something and receive something within the relationship (Molm, 1994). </w:t>
      </w:r>
      <w:r w:rsidR="00B45EEF" w:rsidRPr="00FF5A24">
        <w:t xml:space="preserve">In an LMX relationship, for example, both parties </w:t>
      </w:r>
      <w:r w:rsidRPr="00FF5A24">
        <w:t>are</w:t>
      </w:r>
      <w:r w:rsidR="00AA396B">
        <w:t xml:space="preserve"> also</w:t>
      </w:r>
      <w:r w:rsidRPr="00FF5A24">
        <w:t xml:space="preserve"> engaged in an economic exchange based on an employment contract</w:t>
      </w:r>
      <w:r w:rsidR="00B45EEF" w:rsidRPr="00FF5A24">
        <w:t xml:space="preserve">. Thus, </w:t>
      </w:r>
      <w:r w:rsidR="00A55883" w:rsidRPr="00FF5A24">
        <w:t>supervisors are expected to ensure employee</w:t>
      </w:r>
      <w:r w:rsidR="00945C13" w:rsidRPr="00FF5A24">
        <w:t>s</w:t>
      </w:r>
      <w:r w:rsidR="00A55883" w:rsidRPr="00FF5A24">
        <w:t xml:space="preserve"> are paid for the work they do, per the employment contract</w:t>
      </w:r>
      <w:r w:rsidRPr="00FF5A24">
        <w:t xml:space="preserve">. However, as Cropanzano and Mitchell (2005) point out in their review of social exchange research, Blau </w:t>
      </w:r>
      <w:r w:rsidR="00D27AB8" w:rsidRPr="00FF5A24">
        <w:t xml:space="preserve">contends </w:t>
      </w:r>
      <w:r w:rsidRPr="00FF5A24">
        <w:t>“only social exchange</w:t>
      </w:r>
      <w:r w:rsidR="00945C13" w:rsidRPr="00FF5A24">
        <w:t xml:space="preserve"> </w:t>
      </w:r>
      <w:r w:rsidRPr="00FF5A24">
        <w:t>tends to engender feelings of personal obligations, gratitude, and trust; purely economic exchan</w:t>
      </w:r>
      <w:r w:rsidR="00B4573C" w:rsidRPr="00FF5A24">
        <w:t>ge as such does not” (1964</w:t>
      </w:r>
      <w:r w:rsidR="00EF354D">
        <w:t xml:space="preserve">: </w:t>
      </w:r>
      <w:r w:rsidRPr="00FF5A24">
        <w:t xml:space="preserve">94). </w:t>
      </w:r>
      <w:r w:rsidR="00FD2E03">
        <w:t>I</w:t>
      </w:r>
      <w:r w:rsidRPr="00FF5A24">
        <w:t xml:space="preserve">t is the </w:t>
      </w:r>
      <w:r w:rsidR="00B45EEF" w:rsidRPr="00FF5A24">
        <w:t xml:space="preserve">social, as opposed to economic or contractual, </w:t>
      </w:r>
      <w:r w:rsidRPr="00FF5A24">
        <w:t xml:space="preserve">aspects of the </w:t>
      </w:r>
      <w:r w:rsidR="00B45EEF" w:rsidRPr="00FF5A24">
        <w:t>LMX</w:t>
      </w:r>
      <w:r w:rsidRPr="00FF5A24">
        <w:t xml:space="preserve"> relationship that </w:t>
      </w:r>
      <w:r w:rsidR="00B45EEF" w:rsidRPr="00FF5A24">
        <w:t>are</w:t>
      </w:r>
      <w:r w:rsidRPr="00FF5A24">
        <w:t xml:space="preserve"> the most important for employees</w:t>
      </w:r>
      <w:r w:rsidR="007036FF" w:rsidRPr="00FF5A24">
        <w:t xml:space="preserve"> in</w:t>
      </w:r>
      <w:r w:rsidRPr="00FF5A24">
        <w:t xml:space="preserve"> determining whether they </w:t>
      </w:r>
      <w:r w:rsidR="00B45EEF" w:rsidRPr="00FF5A24">
        <w:t xml:space="preserve">have high LMX perceptions (Uhl-Bien </w:t>
      </w:r>
      <w:r w:rsidR="00F16C82">
        <w:t>and</w:t>
      </w:r>
      <w:r w:rsidR="00B45EEF" w:rsidRPr="00FF5A24">
        <w:t xml:space="preserve"> Maslyn, 2003)</w:t>
      </w:r>
      <w:r w:rsidRPr="00FF5A24">
        <w:t>.</w:t>
      </w:r>
      <w:r w:rsidR="001C6988">
        <w:t xml:space="preserve"> Indeed</w:t>
      </w:r>
      <w:r w:rsidR="00244C88" w:rsidRPr="00244C88">
        <w:t>, leaders that</w:t>
      </w:r>
      <w:r w:rsidR="00B933D9">
        <w:t xml:space="preserve"> move beyond mere economic exchanges to</w:t>
      </w:r>
      <w:r w:rsidR="00244C88" w:rsidRPr="00244C88">
        <w:t xml:space="preserve"> </w:t>
      </w:r>
      <w:r w:rsidR="00244C88">
        <w:t xml:space="preserve">engender social exchange by </w:t>
      </w:r>
      <w:r w:rsidR="00244C88" w:rsidRPr="00244C88">
        <w:t>show</w:t>
      </w:r>
      <w:r w:rsidR="00244C88">
        <w:t>ing care and</w:t>
      </w:r>
      <w:r w:rsidR="00244C88" w:rsidRPr="00244C88">
        <w:t xml:space="preserve"> concern for employees (e.g. ethical leaders [Brown</w:t>
      </w:r>
      <w:r w:rsidR="00EF354D">
        <w:t xml:space="preserve"> et al.</w:t>
      </w:r>
      <w:r w:rsidR="00244C88" w:rsidRPr="00244C88">
        <w:t xml:space="preserve">, 2005], transformational leaders [Bass, 1985], </w:t>
      </w:r>
      <w:r w:rsidR="00AB6524">
        <w:t>authentic leaders [Ilies</w:t>
      </w:r>
      <w:r w:rsidR="00EF354D">
        <w:t xml:space="preserve"> et al.</w:t>
      </w:r>
      <w:r w:rsidR="00244C88" w:rsidRPr="00244C88">
        <w:t>, 2005]) are judged by employees to be positive exchange partners (Hansen</w:t>
      </w:r>
      <w:r w:rsidR="00EF354D">
        <w:t xml:space="preserve"> et al.</w:t>
      </w:r>
      <w:r w:rsidR="00244C88" w:rsidRPr="00244C88">
        <w:t>, 2013; Wang</w:t>
      </w:r>
      <w:r w:rsidR="00EF354D">
        <w:t xml:space="preserve"> et al.</w:t>
      </w:r>
      <w:r w:rsidR="00244C88" w:rsidRPr="00244C88">
        <w:t>, 2005; Wang</w:t>
      </w:r>
      <w:r w:rsidR="00EF354D">
        <w:t xml:space="preserve"> et al.</w:t>
      </w:r>
      <w:r w:rsidR="00244C88" w:rsidRPr="00244C88">
        <w:t>, 2014).</w:t>
      </w:r>
      <w:r w:rsidR="00272E31">
        <w:t xml:space="preserve"> </w:t>
      </w:r>
      <w:r w:rsidR="00771759">
        <w:t>Yet, employees who f</w:t>
      </w:r>
      <w:r w:rsidR="00272E31">
        <w:t xml:space="preserve">eel </w:t>
      </w:r>
      <w:r w:rsidR="002B11DE">
        <w:t>used</w:t>
      </w:r>
      <w:r w:rsidR="00272E31">
        <w:t xml:space="preserve"> or mistreated by their </w:t>
      </w:r>
      <w:r w:rsidR="00D64CCE">
        <w:lastRenderedPageBreak/>
        <w:t>leaders</w:t>
      </w:r>
      <w:r w:rsidR="00272E31">
        <w:t xml:space="preserve"> </w:t>
      </w:r>
      <w:r w:rsidR="00771759">
        <w:t xml:space="preserve">perceive </w:t>
      </w:r>
      <w:r w:rsidR="00D64CCE">
        <w:t>their leader</w:t>
      </w:r>
      <w:r w:rsidR="00771759">
        <w:t>s</w:t>
      </w:r>
      <w:r w:rsidR="00272E31">
        <w:t xml:space="preserve"> to be poor exchange partners (</w:t>
      </w:r>
      <w:r w:rsidR="00771759">
        <w:t>Xu</w:t>
      </w:r>
      <w:r w:rsidR="00EF354D">
        <w:t xml:space="preserve"> et al.</w:t>
      </w:r>
      <w:r w:rsidR="00771759">
        <w:t>, 2012</w:t>
      </w:r>
      <w:r w:rsidR="00272E31">
        <w:t>).</w:t>
      </w:r>
      <w:r w:rsidR="00244C88" w:rsidRPr="00244C88">
        <w:t xml:space="preserve"> </w:t>
      </w:r>
      <w:r w:rsidR="00771759">
        <w:t xml:space="preserve">We argue </w:t>
      </w:r>
      <w:r w:rsidR="00D07FE5">
        <w:t>high-</w:t>
      </w:r>
      <w:r w:rsidR="001C6988">
        <w:t>BLM supervisors</w:t>
      </w:r>
      <w:r w:rsidR="00771759">
        <w:t xml:space="preserve"> </w:t>
      </w:r>
      <w:r w:rsidR="001C6988">
        <w:t xml:space="preserve">are likely to </w:t>
      </w:r>
      <w:r w:rsidR="00B45EEF" w:rsidRPr="00F66E69">
        <w:t xml:space="preserve">neglect </w:t>
      </w:r>
      <w:r w:rsidR="001A351F">
        <w:t xml:space="preserve">competing </w:t>
      </w:r>
      <w:r w:rsidR="00B45EEF" w:rsidRPr="00F66E69">
        <w:t>priorities such as employee well-being</w:t>
      </w:r>
      <w:r w:rsidR="001A351F">
        <w:t xml:space="preserve"> (Greenbaum et al., 2012)</w:t>
      </w:r>
      <w:r w:rsidR="002B67E6">
        <w:t xml:space="preserve"> and </w:t>
      </w:r>
      <w:r w:rsidR="007B20DF">
        <w:t>use</w:t>
      </w:r>
      <w:r w:rsidR="00771759">
        <w:t xml:space="preserve"> employees</w:t>
      </w:r>
      <w:r w:rsidR="002B67E6">
        <w:t xml:space="preserve"> as a means to an end</w:t>
      </w:r>
      <w:r w:rsidR="001C6988">
        <w:t xml:space="preserve"> for the sake of focusing on the bottom line</w:t>
      </w:r>
      <w:r w:rsidR="00771759">
        <w:t>,</w:t>
      </w:r>
      <w:r w:rsidR="002B11DE">
        <w:t xml:space="preserve"> and</w:t>
      </w:r>
      <w:r w:rsidR="00771759">
        <w:t xml:space="preserve"> as such employees will perceive </w:t>
      </w:r>
      <w:r w:rsidR="00D07FE5">
        <w:t>high-</w:t>
      </w:r>
      <w:r w:rsidR="00771759">
        <w:t>BLM supervisors to be poor exchange partners</w:t>
      </w:r>
      <w:r w:rsidR="001C6988">
        <w:t xml:space="preserve">. </w:t>
      </w:r>
    </w:p>
    <w:p w14:paraId="5413AD4A" w14:textId="11743E6E" w:rsidR="00B45EEF" w:rsidRDefault="001C6988" w:rsidP="003B0555">
      <w:pPr>
        <w:spacing w:line="480" w:lineRule="auto"/>
        <w:ind w:firstLine="720"/>
      </w:pPr>
      <w:r w:rsidRPr="003B06B8">
        <w:t xml:space="preserve">Wolfe (1988) argued organizations and individuals are inherently multivalent – having multiple values and needs that must be managed; however, a BLM challenges a person’s ability to tend to these various needs. The presence of a BLM is characterized by one issue being regarded as supremely important while all other factors are minimized or disregarded (Wolfe, 1988). In practice, the bottom line is most often referred to from a financial standpoint such as the profits of the business (Greenbaum et al., 2012; Sims, 1992; Wolfe, 1988). </w:t>
      </w:r>
      <w:r w:rsidR="00434C94">
        <w:t xml:space="preserve">However, the bottom line can be whatever is focused on at the exclusion or minimization of other competing interests. </w:t>
      </w:r>
      <w:bookmarkStart w:id="2" w:name="_Hlk872026"/>
      <w:r w:rsidRPr="003B06B8">
        <w:t>Conceptually, scholars argue individuals with BLMs treat the bottom line as if it is the only outcome that matters.</w:t>
      </w:r>
      <w:bookmarkEnd w:id="2"/>
      <w:r w:rsidRPr="003B06B8">
        <w:t xml:space="preserve"> </w:t>
      </w:r>
      <w:r w:rsidR="00D64CCE">
        <w:t>As such, t</w:t>
      </w:r>
      <w:r w:rsidRPr="003B06B8">
        <w:t xml:space="preserve">hese individuals neglect competing priorities, such as the well-being of others or ethical or environmental concerns, </w:t>
      </w:r>
      <w:r w:rsidR="00D64CCE">
        <w:t>in favor of improving</w:t>
      </w:r>
      <w:r w:rsidRPr="003B06B8">
        <w:t xml:space="preserve"> the bottom line (Callahan, 2004; </w:t>
      </w:r>
      <w:r>
        <w:t xml:space="preserve">Greenbaum et al., 2012; </w:t>
      </w:r>
      <w:r w:rsidRPr="003B06B8">
        <w:t xml:space="preserve">Wolfe, 1988). </w:t>
      </w:r>
      <w:r w:rsidRPr="00F66E69">
        <w:t xml:space="preserve"> </w:t>
      </w:r>
      <w:r>
        <w:t xml:space="preserve"> </w:t>
      </w:r>
    </w:p>
    <w:p w14:paraId="77470452" w14:textId="0EA4ED40" w:rsidR="004F5378" w:rsidRDefault="004B3C38" w:rsidP="00F077DC">
      <w:pPr>
        <w:spacing w:line="480" w:lineRule="auto"/>
        <w:ind w:firstLine="720"/>
      </w:pPr>
      <w:r>
        <w:t xml:space="preserve">Yet, it is the interpersonal aspects of the relationship that employees tend to be most concerned with in their relationships with leaders (Dockery </w:t>
      </w:r>
      <w:r w:rsidR="00EF354D">
        <w:t>and</w:t>
      </w:r>
      <w:r>
        <w:t xml:space="preserve"> Steiner, 1990; Huang</w:t>
      </w:r>
      <w:r w:rsidR="00EF354D">
        <w:t xml:space="preserve"> et al.</w:t>
      </w:r>
      <w:r>
        <w:t>, 2008</w:t>
      </w:r>
      <w:r w:rsidR="004F5378">
        <w:t xml:space="preserve">; </w:t>
      </w:r>
      <w:r w:rsidR="004F5378" w:rsidRPr="00E70B1E">
        <w:t xml:space="preserve">Maslyn </w:t>
      </w:r>
      <w:r w:rsidR="00EF354D">
        <w:t>and</w:t>
      </w:r>
      <w:r w:rsidR="004F5378" w:rsidRPr="00E70B1E">
        <w:t xml:space="preserve"> Uhl-Bien, 2001</w:t>
      </w:r>
      <w:r>
        <w:t xml:space="preserve">). </w:t>
      </w:r>
      <w:r w:rsidR="00D07FE5">
        <w:t>High-</w:t>
      </w:r>
      <w:r w:rsidR="00D61781" w:rsidRPr="00F70F37">
        <w:t>BLM supervisors</w:t>
      </w:r>
      <w:r w:rsidR="001C6988">
        <w:t xml:space="preserve"> then</w:t>
      </w:r>
      <w:r w:rsidR="00D61781" w:rsidRPr="00F70F37">
        <w:t xml:space="preserve"> may provide benefits to employees from a purely economic exchange standpoint, </w:t>
      </w:r>
      <w:r w:rsidR="001C6988">
        <w:t xml:space="preserve">but </w:t>
      </w:r>
      <w:r w:rsidR="00D61781" w:rsidRPr="00F70F37">
        <w:t xml:space="preserve">they likely fall short in </w:t>
      </w:r>
      <w:r w:rsidR="001C6988">
        <w:t>areas that are prone to foster loyalty and affect</w:t>
      </w:r>
      <w:r>
        <w:t>,</w:t>
      </w:r>
      <w:r w:rsidR="004B6040">
        <w:t xml:space="preserve"> </w:t>
      </w:r>
      <w:r w:rsidR="00D64CCE">
        <w:t>which should weaken</w:t>
      </w:r>
      <w:r w:rsidR="00D64CCE" w:rsidRPr="00F70F37">
        <w:t xml:space="preserve"> </w:t>
      </w:r>
      <w:r w:rsidR="009046DA" w:rsidRPr="00F70F37">
        <w:t xml:space="preserve">the social exchange relationship. </w:t>
      </w:r>
      <w:r w:rsidR="001C6988">
        <w:t xml:space="preserve">For example, </w:t>
      </w:r>
      <w:r w:rsidR="00D07FE5">
        <w:t>high-</w:t>
      </w:r>
      <w:r w:rsidR="008E72BC" w:rsidRPr="00F70F37">
        <w:t>BLM supervisor</w:t>
      </w:r>
      <w:r w:rsidR="00036871">
        <w:t>s operate</w:t>
      </w:r>
      <w:r w:rsidR="008E72BC" w:rsidRPr="00F70F37">
        <w:t xml:space="preserve"> in a competitive, game-like environment, with a win-loss mentality that can view anyone and everyone as an opponent</w:t>
      </w:r>
      <w:r w:rsidR="00514458">
        <w:t xml:space="preserve">, including coworkers or </w:t>
      </w:r>
      <w:r w:rsidR="00ED3EF7">
        <w:lastRenderedPageBreak/>
        <w:t>subordinates</w:t>
      </w:r>
      <w:r w:rsidR="008E72BC" w:rsidRPr="00F70F37">
        <w:t xml:space="preserve"> (Callahan, 2004; Greenbaum et al., 2012). </w:t>
      </w:r>
      <w:r w:rsidR="001C6988">
        <w:t xml:space="preserve">Supervisors with a BLM can even lead to employees engaging in undermining of their coworkers so that they might get ahead in </w:t>
      </w:r>
      <w:r w:rsidR="003B0555">
        <w:t>a</w:t>
      </w:r>
      <w:r w:rsidR="001C6988">
        <w:t xml:space="preserve"> competitive business environment (Greenbaum et al., 2012). </w:t>
      </w:r>
      <w:r w:rsidR="00466EC3">
        <w:t>Th</w:t>
      </w:r>
      <w:r w:rsidR="00D32964">
        <w:t>is</w:t>
      </w:r>
      <w:r w:rsidR="00466EC3">
        <w:t xml:space="preserve"> competitiveness is driven by selfishness (Callahan, 2004; Wolfe, 1988). So, while supervisors may not desire that their employees lose, when faced with a choice to serve their own interests or those of their employees, </w:t>
      </w:r>
      <w:r w:rsidR="00D07FE5">
        <w:t>high-</w:t>
      </w:r>
      <w:r w:rsidR="00466EC3">
        <w:t>BLM supervisors will operate towards the outcome that serves their own self-interest</w:t>
      </w:r>
      <w:r w:rsidR="00D32964">
        <w:t>ed pursuit of their bottom line</w:t>
      </w:r>
      <w:r w:rsidR="00466EC3">
        <w:t>. Therefore</w:t>
      </w:r>
      <w:r w:rsidR="00BE2777" w:rsidRPr="00F70F37">
        <w:t xml:space="preserve">, </w:t>
      </w:r>
      <w:r w:rsidR="00D07FE5">
        <w:t>high-</w:t>
      </w:r>
      <w:r w:rsidR="00BE2777">
        <w:t>BLM supervisors’</w:t>
      </w:r>
      <w:r w:rsidR="00BE2777" w:rsidRPr="00F70F37">
        <w:t xml:space="preserve"> self-interest </w:t>
      </w:r>
      <w:r w:rsidR="00BE2777">
        <w:t>hinders</w:t>
      </w:r>
      <w:r w:rsidR="00BE2777" w:rsidRPr="00F70F37">
        <w:t xml:space="preserve"> their ability to pursue the well-being of those around them</w:t>
      </w:r>
      <w:r w:rsidR="00AA396B">
        <w:t>. Specifically, their own</w:t>
      </w:r>
      <w:r w:rsidR="00BE2777">
        <w:t xml:space="preserve"> employees, </w:t>
      </w:r>
      <w:r w:rsidR="00AA396B">
        <w:t xml:space="preserve">because </w:t>
      </w:r>
      <w:r w:rsidR="00BE2777">
        <w:t xml:space="preserve">by developing them or advocating for them in or outside the organization, these </w:t>
      </w:r>
      <w:r w:rsidR="00AA396B">
        <w:t>actions</w:t>
      </w:r>
      <w:r w:rsidR="00BE2777">
        <w:t xml:space="preserve"> do not appear to d</w:t>
      </w:r>
      <w:r w:rsidR="00BE2777" w:rsidRPr="00F70F37">
        <w:t xml:space="preserve">irectly support </w:t>
      </w:r>
      <w:r w:rsidR="00BE2777">
        <w:t>the supervisors’</w:t>
      </w:r>
      <w:r w:rsidR="00BE2777" w:rsidRPr="00F70F37">
        <w:t xml:space="preserve"> own </w:t>
      </w:r>
      <w:r w:rsidR="00BE2777">
        <w:t xml:space="preserve">bottom-line </w:t>
      </w:r>
      <w:r w:rsidR="00BE2777" w:rsidRPr="00F70F37">
        <w:t>goal</w:t>
      </w:r>
      <w:r w:rsidR="00BE2777">
        <w:t xml:space="preserve"> pursuit</w:t>
      </w:r>
      <w:r w:rsidR="00BE2777" w:rsidRPr="00F70F37">
        <w:t xml:space="preserve">. </w:t>
      </w:r>
    </w:p>
    <w:p w14:paraId="209B4EC8" w14:textId="3B79A497" w:rsidR="00BE2777" w:rsidRDefault="00D07FE5" w:rsidP="00F077DC">
      <w:pPr>
        <w:spacing w:line="480" w:lineRule="auto"/>
        <w:ind w:firstLine="720"/>
      </w:pPr>
      <w:r>
        <w:t>High-</w:t>
      </w:r>
      <w:r w:rsidR="004F5378">
        <w:t xml:space="preserve">BLM supervisors tend to focus on how their decisions impact short-term financial considerations while neglecting how those decisions might affect the organization as a whole in the short-term or in the long-term (Sims, 1992). Relatedly, </w:t>
      </w:r>
      <w:r>
        <w:t>high-</w:t>
      </w:r>
      <w:r w:rsidR="004F5378">
        <w:t>BLM supervisors are time sensitive and very aware of how spending resources such as time, energy, and attention in one area means they cannot spend those resources in other areas (DeWall</w:t>
      </w:r>
      <w:r w:rsidR="00EF354D">
        <w:t xml:space="preserve"> et al.</w:t>
      </w:r>
      <w:r w:rsidR="004F5378">
        <w:t xml:space="preserve">, 2011). </w:t>
      </w:r>
      <w:r w:rsidR="008E72BC" w:rsidRPr="00F70F37">
        <w:t xml:space="preserve">So, while </w:t>
      </w:r>
      <w:r>
        <w:t>high-</w:t>
      </w:r>
      <w:r w:rsidR="003B0555">
        <w:t>BLM supervisors</w:t>
      </w:r>
      <w:r w:rsidR="008E72BC" w:rsidRPr="00F70F37">
        <w:t xml:space="preserve"> would likely be seen by others as contributing to the goal</w:t>
      </w:r>
      <w:r w:rsidR="00703873" w:rsidRPr="00F70F37">
        <w:t>s</w:t>
      </w:r>
      <w:r w:rsidR="008E72BC" w:rsidRPr="00F70F37">
        <w:t xml:space="preserve"> of the organization</w:t>
      </w:r>
      <w:r w:rsidR="00AA396B">
        <w:t xml:space="preserve">—assuming </w:t>
      </w:r>
      <w:r w:rsidR="008E72BC" w:rsidRPr="00F70F37">
        <w:t>they were effective in doing so</w:t>
      </w:r>
      <w:r w:rsidR="00AA396B">
        <w:t xml:space="preserve">—they </w:t>
      </w:r>
      <w:r w:rsidR="008E72BC" w:rsidRPr="00F70F37">
        <w:t>would not make time to help with the personal goals of their employees</w:t>
      </w:r>
      <w:r w:rsidR="00AA396B">
        <w:t xml:space="preserve">. </w:t>
      </w:r>
      <w:r w:rsidR="007F6BF2">
        <w:t xml:space="preserve">Rather, any assistance a </w:t>
      </w:r>
      <w:r>
        <w:t>high-</w:t>
      </w:r>
      <w:r w:rsidR="007F6BF2">
        <w:t xml:space="preserve">BLM supervisor might offer an employee would be only a means to a personally-advantageous end for the supervisor, whereby the employee is a resource that is being exploited </w:t>
      </w:r>
      <w:r w:rsidR="001C6988">
        <w:t>(Wolfe, 1988)</w:t>
      </w:r>
      <w:r w:rsidR="008E72BC" w:rsidRPr="00F70F37">
        <w:t>.</w:t>
      </w:r>
      <w:r w:rsidR="00D707B4">
        <w:t xml:space="preserve"> </w:t>
      </w:r>
      <w:r w:rsidR="00F077DC">
        <w:t xml:space="preserve">Yet, </w:t>
      </w:r>
      <w:r w:rsidR="004F5378">
        <w:t xml:space="preserve">employees expect effective supervisors to demonstrate self-sacrificing or others-focused behaviors (van Knippenberg </w:t>
      </w:r>
      <w:r w:rsidR="00EF354D">
        <w:t>and</w:t>
      </w:r>
      <w:r w:rsidR="004F5378">
        <w:t xml:space="preserve"> van Knippenberg, 2005)</w:t>
      </w:r>
      <w:r w:rsidR="007F6BF2">
        <w:t xml:space="preserve">, components that could be instrumental in developing affect and loyalty within the LMX relationship. </w:t>
      </w:r>
      <w:r w:rsidR="007F6BF2" w:rsidRPr="00F70F37">
        <w:t xml:space="preserve">Indeed, research has shown that </w:t>
      </w:r>
      <w:r w:rsidR="007F6BF2">
        <w:t>others-focused</w:t>
      </w:r>
      <w:r w:rsidR="007F6BF2" w:rsidRPr="00F70F37">
        <w:t xml:space="preserve"> </w:t>
      </w:r>
      <w:r w:rsidR="007F6BF2" w:rsidRPr="00F70F37">
        <w:lastRenderedPageBreak/>
        <w:t>forms</w:t>
      </w:r>
      <w:r w:rsidR="007F6BF2">
        <w:t xml:space="preserve"> of leadership such as ethical and servant </w:t>
      </w:r>
      <w:r w:rsidR="007F6BF2" w:rsidRPr="00F70F37">
        <w:t>leadership have a positive impact on employees’ loyalty</w:t>
      </w:r>
      <w:r w:rsidR="007F6BF2">
        <w:t xml:space="preserve"> to the supervisor</w:t>
      </w:r>
      <w:r w:rsidR="007F6BF2" w:rsidRPr="00F70F37">
        <w:t xml:space="preserve"> (</w:t>
      </w:r>
      <w:r w:rsidR="007F6BF2">
        <w:t xml:space="preserve">Hansen et al., 2013; Sendjaya </w:t>
      </w:r>
      <w:r w:rsidR="00EF354D">
        <w:t>and</w:t>
      </w:r>
      <w:r w:rsidR="007F6BF2">
        <w:t xml:space="preserve"> Pekerti, 2010</w:t>
      </w:r>
      <w:r w:rsidR="007F6BF2" w:rsidRPr="00F70F37">
        <w:t>)</w:t>
      </w:r>
      <w:r w:rsidR="007F6BF2">
        <w:t xml:space="preserve"> and their perceptions of leader effectiveness (Brown et al., 2005; Van Dierendonck</w:t>
      </w:r>
      <w:r w:rsidR="00EF354D">
        <w:t xml:space="preserve"> et al.</w:t>
      </w:r>
      <w:r w:rsidR="007F6BF2">
        <w:t>, 2014)</w:t>
      </w:r>
      <w:r w:rsidR="007F6BF2" w:rsidRPr="00F70F37">
        <w:t>.</w:t>
      </w:r>
    </w:p>
    <w:p w14:paraId="15961B45" w14:textId="05E0E8F6" w:rsidR="00D61781" w:rsidRPr="00F70F37" w:rsidRDefault="009046DA" w:rsidP="00F70F37">
      <w:pPr>
        <w:spacing w:line="480" w:lineRule="auto"/>
        <w:ind w:firstLine="720"/>
      </w:pPr>
      <w:r w:rsidRPr="003B0555">
        <w:t xml:space="preserve">In sum, </w:t>
      </w:r>
      <w:r w:rsidR="00B3132E">
        <w:t>high-</w:t>
      </w:r>
      <w:r w:rsidR="004B1F15" w:rsidRPr="00F70F37">
        <w:t xml:space="preserve">BLM supervisors </w:t>
      </w:r>
      <w:r w:rsidR="008F3FD2">
        <w:t xml:space="preserve">are solely concerned with meeting the bottom line, which is most often a financial one (Callahan, 2004; Greenbaum et al., 2012; Wolfe, 1988). Thus, they forsake an emphasis on employee well-being to focus on profits (Greenbaum et al., 2012). </w:t>
      </w:r>
      <w:r w:rsidR="00722C1E">
        <w:t>W</w:t>
      </w:r>
      <w:r w:rsidR="008F3FD2">
        <w:t xml:space="preserve">e argue, </w:t>
      </w:r>
      <w:r w:rsidR="00B3132E">
        <w:t>high-</w:t>
      </w:r>
      <w:r w:rsidR="00A8239B" w:rsidRPr="00F70F37">
        <w:t xml:space="preserve">BLM supervisors </w:t>
      </w:r>
      <w:r w:rsidR="00321663">
        <w:t xml:space="preserve">effectively </w:t>
      </w:r>
      <w:r w:rsidR="00A8239B" w:rsidRPr="00F70F37">
        <w:t xml:space="preserve">signal to their employees that </w:t>
      </w:r>
      <w:r w:rsidR="00130802">
        <w:t xml:space="preserve">they are </w:t>
      </w:r>
      <w:r w:rsidR="00BA21F5">
        <w:t xml:space="preserve">merely </w:t>
      </w:r>
      <w:r w:rsidR="00130802">
        <w:t>a means to achieving the bottom line</w:t>
      </w:r>
      <w:r w:rsidR="00D52823">
        <w:t xml:space="preserve"> that</w:t>
      </w:r>
      <w:r w:rsidR="00D75EC0">
        <w:t xml:space="preserve"> the supervisor is pursuing</w:t>
      </w:r>
      <w:r w:rsidR="00A8239B" w:rsidRPr="00F70F37">
        <w:t>.</w:t>
      </w:r>
      <w:r w:rsidR="00B828DC" w:rsidRPr="00F70F37">
        <w:t xml:space="preserve"> </w:t>
      </w:r>
      <w:r w:rsidR="00BA4C2C" w:rsidRPr="00F70F37">
        <w:t>As such</w:t>
      </w:r>
      <w:r w:rsidR="004B5BD7" w:rsidRPr="00F70F37">
        <w:t xml:space="preserve">, </w:t>
      </w:r>
      <w:r w:rsidR="00B3132E">
        <w:t>high-</w:t>
      </w:r>
      <w:r w:rsidR="00A160FA" w:rsidRPr="00F70F37">
        <w:t>BLM supervisor</w:t>
      </w:r>
      <w:r w:rsidR="004B5BD7" w:rsidRPr="00F70F37">
        <w:t xml:space="preserve">s, consistent in their </w:t>
      </w:r>
      <w:r w:rsidR="00C92A93" w:rsidRPr="00F70F37">
        <w:t>disregard</w:t>
      </w:r>
      <w:r w:rsidR="004B5BD7" w:rsidRPr="00F70F37">
        <w:t xml:space="preserve"> </w:t>
      </w:r>
      <w:r w:rsidR="00C92A93" w:rsidRPr="00F70F37">
        <w:t>for</w:t>
      </w:r>
      <w:r w:rsidR="00A160FA" w:rsidRPr="00F70F37">
        <w:t xml:space="preserve"> the</w:t>
      </w:r>
      <w:r w:rsidR="004B5BD7" w:rsidRPr="00F70F37">
        <w:t xml:space="preserve"> social exchange aspects of their supervisory role, will </w:t>
      </w:r>
      <w:r w:rsidR="00F70F37" w:rsidRPr="00F70F37">
        <w:t xml:space="preserve">be viewed by employees as low-quality LMX partners. </w:t>
      </w:r>
      <w:r w:rsidR="004B5BD7" w:rsidRPr="00F70F37">
        <w:t>Therefore, we hypothesize</w:t>
      </w:r>
      <w:r w:rsidR="00D61781" w:rsidRPr="00F70F37">
        <w:t>:</w:t>
      </w:r>
    </w:p>
    <w:p w14:paraId="3AA0F2A5" w14:textId="405E25C5" w:rsidR="00D61781" w:rsidRPr="00281C6E" w:rsidRDefault="00D61781" w:rsidP="006A698E">
      <w:pPr>
        <w:spacing w:line="480" w:lineRule="auto"/>
      </w:pPr>
      <w:r w:rsidRPr="00281C6E">
        <w:tab/>
      </w:r>
      <w:r w:rsidRPr="00281C6E">
        <w:rPr>
          <w:i/>
        </w:rPr>
        <w:t>Hypothesis 1:</w:t>
      </w:r>
      <w:r w:rsidRPr="00281C6E">
        <w:t xml:space="preserve"> Supervisor BLM is negatively related to employee </w:t>
      </w:r>
      <w:r w:rsidR="00281C6E" w:rsidRPr="00281C6E">
        <w:t xml:space="preserve">perceptions of the LMX </w:t>
      </w:r>
      <w:r w:rsidR="00281C6E" w:rsidRPr="00281C6E">
        <w:tab/>
        <w:t>relationship</w:t>
      </w:r>
      <w:r w:rsidRPr="00281C6E">
        <w:t>.</w:t>
      </w:r>
    </w:p>
    <w:p w14:paraId="4B896FD8" w14:textId="14DFCF8F" w:rsidR="00D61781" w:rsidRPr="00FB777F" w:rsidRDefault="00674360" w:rsidP="006A698E">
      <w:pPr>
        <w:spacing w:line="480" w:lineRule="auto"/>
        <w:rPr>
          <w:i/>
        </w:rPr>
      </w:pPr>
      <w:r w:rsidRPr="00FB777F">
        <w:rPr>
          <w:i/>
        </w:rPr>
        <w:t>Supervisor BLM and Employee Performance</w:t>
      </w:r>
    </w:p>
    <w:p w14:paraId="01F23457" w14:textId="7A03E3DB" w:rsidR="00E83A48" w:rsidRDefault="00D61781" w:rsidP="006A698E">
      <w:pPr>
        <w:spacing w:line="480" w:lineRule="auto"/>
      </w:pPr>
      <w:r w:rsidRPr="00FB777F">
        <w:tab/>
        <w:t>A</w:t>
      </w:r>
      <w:r w:rsidR="00E83A48">
        <w:t xml:space="preserve"> social</w:t>
      </w:r>
      <w:r w:rsidRPr="00FB777F">
        <w:t xml:space="preserve"> exchange</w:t>
      </w:r>
      <w:r w:rsidR="00E83A48">
        <w:t xml:space="preserve"> relationship </w:t>
      </w:r>
      <w:r w:rsidRPr="00FB777F">
        <w:t>involves transaction</w:t>
      </w:r>
      <w:r w:rsidR="00477510">
        <w:t>s</w:t>
      </w:r>
      <w:r w:rsidRPr="00FB777F">
        <w:t xml:space="preserve"> between </w:t>
      </w:r>
      <w:r w:rsidR="00E83A48" w:rsidRPr="00FB777F">
        <w:t>t</w:t>
      </w:r>
      <w:r w:rsidR="00E83A48">
        <w:t>he</w:t>
      </w:r>
      <w:r w:rsidR="00E83A48" w:rsidRPr="00FB777F">
        <w:t xml:space="preserve"> </w:t>
      </w:r>
      <w:r w:rsidRPr="00FB777F">
        <w:t xml:space="preserve">parties, which implies a certain level of interdependence in the relationship—a key characteristic to the application of social exchange theory (Molm, 1994). </w:t>
      </w:r>
      <w:r w:rsidR="008A370C">
        <w:t xml:space="preserve">In social exchange </w:t>
      </w:r>
      <w:r w:rsidR="00477510">
        <w:t xml:space="preserve">relationships, parties </w:t>
      </w:r>
      <w:r w:rsidR="007D5675" w:rsidRPr="00FB777F">
        <w:t xml:space="preserve">are </w:t>
      </w:r>
      <w:r w:rsidR="00477510">
        <w:t xml:space="preserve">implicitly </w:t>
      </w:r>
      <w:r w:rsidR="007D5675" w:rsidRPr="00FB777F">
        <w:t xml:space="preserve">expected to abide by certain rules (e.g., exchange rules), which enable </w:t>
      </w:r>
      <w:r w:rsidRPr="00FB777F">
        <w:t>the relationship to evo</w:t>
      </w:r>
      <w:r w:rsidR="007D5675" w:rsidRPr="00FB777F">
        <w:t>lve in a positive way</w:t>
      </w:r>
      <w:r w:rsidRPr="00FB777F">
        <w:t xml:space="preserve">. Arguably the </w:t>
      </w:r>
      <w:r w:rsidR="009C5FA7" w:rsidRPr="00FB777F">
        <w:t>best-known</w:t>
      </w:r>
      <w:r w:rsidRPr="00FB777F">
        <w:t xml:space="preserve"> exchange rule is reciprocity (Cropanzano </w:t>
      </w:r>
      <w:r w:rsidR="00EF354D">
        <w:t>and</w:t>
      </w:r>
      <w:r w:rsidRPr="00FB777F">
        <w:t xml:space="preserve"> Mitchell, 2005). </w:t>
      </w:r>
      <w:r w:rsidR="00E83A48">
        <w:t>An example of reciprocity is the relationship between LMX and performance. In a meta-analysis that examines this relationship, the authors note, “positive exchanges between the leader and follower increase feelings of affect and liking for the leader, and this also motivates followers to want to meet the leader’s work demands. This should in turn enhance task and contextual performance” (Martin</w:t>
      </w:r>
      <w:r w:rsidR="00EF354D">
        <w:t xml:space="preserve"> et al.</w:t>
      </w:r>
      <w:r w:rsidR="00E83A48">
        <w:t>, 2016</w:t>
      </w:r>
      <w:r w:rsidR="00EF354D">
        <w:t>:</w:t>
      </w:r>
      <w:r w:rsidR="00E83A48">
        <w:t xml:space="preserve"> 71). This is the picture of reciprocity. </w:t>
      </w:r>
      <w:r w:rsidR="00E83A48">
        <w:lastRenderedPageBreak/>
        <w:t>However, in the case of a</w:t>
      </w:r>
      <w:r w:rsidR="00B3132E">
        <w:t xml:space="preserve"> high-</w:t>
      </w:r>
      <w:r w:rsidR="00E83A48">
        <w:t>BLM supervisor, we contend the opposite will take place</w:t>
      </w:r>
      <w:r w:rsidR="00D52823">
        <w:t xml:space="preserve"> (i.e., </w:t>
      </w:r>
      <w:r w:rsidR="00E83A48">
        <w:t>negative reciprocity</w:t>
      </w:r>
      <w:r w:rsidR="00D52823">
        <w:t>; Gouldner, 1960)</w:t>
      </w:r>
      <w:r w:rsidR="00E83A48">
        <w:t xml:space="preserve">. </w:t>
      </w:r>
    </w:p>
    <w:p w14:paraId="72948B61" w14:textId="30B8BC81" w:rsidR="00D61781" w:rsidRPr="00FB777F" w:rsidRDefault="00E83A48" w:rsidP="006A698E">
      <w:pPr>
        <w:spacing w:line="480" w:lineRule="auto"/>
        <w:ind w:firstLine="720"/>
      </w:pPr>
      <w:r>
        <w:t xml:space="preserve">Negative exchanges </w:t>
      </w:r>
      <w:r w:rsidR="00D52823">
        <w:t xml:space="preserve">involve </w:t>
      </w:r>
      <w:r>
        <w:t xml:space="preserve">negative treatment </w:t>
      </w:r>
      <w:r w:rsidR="00D52823">
        <w:t xml:space="preserve">in return </w:t>
      </w:r>
      <w:r>
        <w:t xml:space="preserve">for negative treatment (Cropanzano </w:t>
      </w:r>
      <w:r w:rsidR="00EF354D">
        <w:t>and</w:t>
      </w:r>
      <w:r>
        <w:t xml:space="preserve"> Mitchell, 2005). </w:t>
      </w:r>
      <w:r w:rsidR="00B3132E">
        <w:t>High-B</w:t>
      </w:r>
      <w:r w:rsidR="00431627">
        <w:t xml:space="preserve">LM supervisors signal to their employees the supreme importance of task performance (Mawritz et al., 2017). In so doing, </w:t>
      </w:r>
      <w:r w:rsidR="00D52823">
        <w:t xml:space="preserve">we contend </w:t>
      </w:r>
      <w:r w:rsidR="00431627">
        <w:t>they establish low-quality exchange relationships with their employees</w:t>
      </w:r>
      <w:r w:rsidR="00942933">
        <w:t xml:space="preserve"> for the reasons</w:t>
      </w:r>
      <w:r w:rsidR="00CC3F92">
        <w:t xml:space="preserve"> previously described</w:t>
      </w:r>
      <w:r w:rsidR="00431627">
        <w:t xml:space="preserve">. </w:t>
      </w:r>
      <w:r w:rsidR="006A698E">
        <w:t>In a social exchange relationship, parties are inclined to consider the reciprocal behavior certain transactions warrant and to act in a way that will balance the inputs and outputs within the relationship (Bernerth</w:t>
      </w:r>
      <w:r w:rsidR="00EF354D">
        <w:t xml:space="preserve"> et al.</w:t>
      </w:r>
      <w:r w:rsidR="006A698E">
        <w:t xml:space="preserve">, 2007). </w:t>
      </w:r>
      <w:r w:rsidR="00884EBB">
        <w:t xml:space="preserve">In his seminal work on </w:t>
      </w:r>
      <w:r w:rsidR="009A7526">
        <w:t>social exchanges</w:t>
      </w:r>
      <w:r w:rsidR="00AC1286">
        <w:t>,</w:t>
      </w:r>
      <w:r w:rsidR="009A7526">
        <w:t xml:space="preserve"> Blau</w:t>
      </w:r>
      <w:r w:rsidR="000F6A19">
        <w:t xml:space="preserve"> (1964)</w:t>
      </w:r>
      <w:r w:rsidR="009A7526">
        <w:t xml:space="preserve"> argued “maintaining a balance” and “straining towards reciprocity” were motivating factors in determining how parties would respond behaviorally to one another. </w:t>
      </w:r>
      <w:r w:rsidR="00B83FDF">
        <w:t xml:space="preserve">Thus, </w:t>
      </w:r>
      <w:r>
        <w:t>employees</w:t>
      </w:r>
      <w:r w:rsidR="00B83FDF">
        <w:t>,</w:t>
      </w:r>
      <w:r w:rsidR="00431627">
        <w:t xml:space="preserve"> </w:t>
      </w:r>
      <w:r>
        <w:t>who receiv</w:t>
      </w:r>
      <w:r w:rsidR="00B83FDF">
        <w:t>e</w:t>
      </w:r>
      <w:r>
        <w:t xml:space="preserve"> negative </w:t>
      </w:r>
      <w:r w:rsidR="006A698E">
        <w:t>offerings</w:t>
      </w:r>
      <w:r>
        <w:t xml:space="preserve"> from </w:t>
      </w:r>
      <w:r w:rsidR="00B3132E">
        <w:t>high-</w:t>
      </w:r>
      <w:r>
        <w:t>BLM supervisor</w:t>
      </w:r>
      <w:r w:rsidR="00431627">
        <w:t>s</w:t>
      </w:r>
      <w:r>
        <w:t xml:space="preserve"> in the form of neglect or self-interested assistance</w:t>
      </w:r>
      <w:r w:rsidR="00431627">
        <w:t>,</w:t>
      </w:r>
      <w:r>
        <w:t xml:space="preserve"> </w:t>
      </w:r>
      <w:r w:rsidR="00D52823">
        <w:t>should</w:t>
      </w:r>
      <w:r>
        <w:t xml:space="preserve"> be inclined to respond with their own negative </w:t>
      </w:r>
      <w:r w:rsidR="006A698E">
        <w:t>offerings</w:t>
      </w:r>
      <w:r>
        <w:t xml:space="preserve">, </w:t>
      </w:r>
      <w:r w:rsidR="00D52823">
        <w:t>in the form of the</w:t>
      </w:r>
      <w:r>
        <w:t xml:space="preserve"> withholding of </w:t>
      </w:r>
      <w:r w:rsidR="00431627">
        <w:t xml:space="preserve">what the </w:t>
      </w:r>
      <w:r w:rsidR="00B3132E">
        <w:t>high-</w:t>
      </w:r>
      <w:r w:rsidR="00431627">
        <w:t>BLM supervisor</w:t>
      </w:r>
      <w:r w:rsidR="00B3132E">
        <w:t>s</w:t>
      </w:r>
      <w:r w:rsidR="00431627">
        <w:t xml:space="preserve"> most desire</w:t>
      </w:r>
      <w:r w:rsidR="00D52823">
        <w:t xml:space="preserve"> (and what </w:t>
      </w:r>
      <w:r w:rsidR="00CC3F92">
        <w:t>the employees</w:t>
      </w:r>
      <w:r w:rsidR="00D52823">
        <w:t xml:space="preserve"> directly control)</w:t>
      </w:r>
      <w:r w:rsidR="00431627">
        <w:t>,</w:t>
      </w:r>
      <w:r w:rsidR="00D52823">
        <w:t xml:space="preserve"> their own task</w:t>
      </w:r>
      <w:r>
        <w:t xml:space="preserve"> performance. </w:t>
      </w:r>
    </w:p>
    <w:p w14:paraId="68FE9E73" w14:textId="5722BFC6" w:rsidR="00477510" w:rsidRDefault="00501AC9" w:rsidP="006A698E">
      <w:pPr>
        <w:spacing w:line="480" w:lineRule="auto"/>
        <w:ind w:firstLine="720"/>
      </w:pPr>
      <w:r>
        <w:t>Indeed, extant research has shown subordinates in negative reciprocity relationships, those characterized by self-interest</w:t>
      </w:r>
      <w:r w:rsidR="00604B20">
        <w:t>,</w:t>
      </w:r>
      <w:r>
        <w:t xml:space="preserve"> perform </w:t>
      </w:r>
      <w:r w:rsidR="00604B20">
        <w:t>worse</w:t>
      </w:r>
      <w:r>
        <w:t xml:space="preserve"> than those in higher quality exchange relationships (Uhl-Bien </w:t>
      </w:r>
      <w:r w:rsidR="00EF354D">
        <w:t>and</w:t>
      </w:r>
      <w:r>
        <w:t xml:space="preserve"> Maslyn, 2003). It could </w:t>
      </w:r>
      <w:r w:rsidR="00D52823">
        <w:t>also</w:t>
      </w:r>
      <w:r w:rsidR="00851006">
        <w:t xml:space="preserve"> </w:t>
      </w:r>
      <w:r>
        <w:t xml:space="preserve">be argued subordinates in </w:t>
      </w:r>
      <w:r w:rsidR="00D52823">
        <w:t>these</w:t>
      </w:r>
      <w:r>
        <w:t xml:space="preserve"> situation</w:t>
      </w:r>
      <w:r w:rsidR="00D52823">
        <w:t>s</w:t>
      </w:r>
      <w:r>
        <w:t xml:space="preserve"> would withdraw or withhold better performance because they are unhappy with the relationship (Organ, 1990). </w:t>
      </w:r>
      <w:r w:rsidR="00604B20" w:rsidRPr="00EE356E">
        <w:t xml:space="preserve">Employee performance includes meeting or exceeding job requirements, showing concern for the quality of one’s work, </w:t>
      </w:r>
      <w:r w:rsidR="0015191F">
        <w:t xml:space="preserve">or </w:t>
      </w:r>
      <w:r w:rsidR="00604B20" w:rsidRPr="00EE356E">
        <w:t>searching for ways to be more productive (Alper</w:t>
      </w:r>
      <w:r w:rsidR="00EF354D">
        <w:t xml:space="preserve"> et al.</w:t>
      </w:r>
      <w:r w:rsidR="00604B20" w:rsidRPr="00EE356E">
        <w:t xml:space="preserve">, 2000). </w:t>
      </w:r>
      <w:r w:rsidR="00851006" w:rsidRPr="00EE356E">
        <w:t xml:space="preserve">Again, we contend </w:t>
      </w:r>
      <w:r w:rsidR="00B3132E">
        <w:t>high-</w:t>
      </w:r>
      <w:r w:rsidR="00851006" w:rsidRPr="00EE356E">
        <w:t>BLM supervisors will not be prone to engaging in behaviors that foster positive social exchanges. More specifically, unless the bottom-</w:t>
      </w:r>
      <w:r w:rsidR="00851006" w:rsidRPr="00EE356E">
        <w:lastRenderedPageBreak/>
        <w:t xml:space="preserve">line outcome </w:t>
      </w:r>
      <w:r w:rsidR="0024580F">
        <w:t>supervisors’</w:t>
      </w:r>
      <w:r w:rsidR="0024580F" w:rsidRPr="00EE356E">
        <w:t xml:space="preserve"> </w:t>
      </w:r>
      <w:r w:rsidR="00851006" w:rsidRPr="00EE356E">
        <w:t xml:space="preserve">desire is </w:t>
      </w:r>
      <w:r w:rsidR="0024580F">
        <w:t xml:space="preserve">a </w:t>
      </w:r>
      <w:r w:rsidR="00851006" w:rsidRPr="00EE356E">
        <w:t xml:space="preserve">positive relationship with </w:t>
      </w:r>
      <w:r w:rsidR="0024580F">
        <w:t xml:space="preserve">their </w:t>
      </w:r>
      <w:r w:rsidR="00851006" w:rsidRPr="00EE356E">
        <w:t xml:space="preserve">employees, which is not likely </w:t>
      </w:r>
      <w:r w:rsidR="005C3946">
        <w:t>the case in</w:t>
      </w:r>
      <w:r w:rsidR="00851006" w:rsidRPr="00EE356E">
        <w:t xml:space="preserve"> for-profit organization</w:t>
      </w:r>
      <w:r w:rsidR="005C3946">
        <w:t>s</w:t>
      </w:r>
      <w:r w:rsidR="00851006" w:rsidRPr="00EE356E">
        <w:t xml:space="preserve">, </w:t>
      </w:r>
      <w:r w:rsidR="00B3132E">
        <w:t>high-</w:t>
      </w:r>
      <w:r w:rsidR="00851006" w:rsidRPr="00EE356E">
        <w:t xml:space="preserve">BLM supervisors’ singular focus on bottom-line outcomes will result in their neglecting the social exchange aspects of their relationships with employees. </w:t>
      </w:r>
      <w:r w:rsidR="00EE356E" w:rsidRPr="00EE356E">
        <w:t xml:space="preserve">Thus, </w:t>
      </w:r>
      <w:r w:rsidR="00604B20" w:rsidRPr="00EE356E">
        <w:t>employees</w:t>
      </w:r>
      <w:r w:rsidR="00884EBB">
        <w:t>,</w:t>
      </w:r>
      <w:r w:rsidR="00EE356E" w:rsidRPr="00EE356E">
        <w:t xml:space="preserve"> </w:t>
      </w:r>
      <w:r w:rsidR="00884EBB">
        <w:t xml:space="preserve">who desire to maintain balance in the reciprocity relationship, </w:t>
      </w:r>
      <w:r w:rsidR="00EE356E" w:rsidRPr="00EE356E">
        <w:t>will be</w:t>
      </w:r>
      <w:r w:rsidR="00604B20" w:rsidRPr="00EE356E">
        <w:t xml:space="preserve"> less inclined to </w:t>
      </w:r>
      <w:r w:rsidR="00EE356E" w:rsidRPr="00EE356E">
        <w:t xml:space="preserve">offer positive inputs of their own, such as </w:t>
      </w:r>
      <w:r w:rsidR="00604B20" w:rsidRPr="00EE356E">
        <w:t>complet</w:t>
      </w:r>
      <w:r w:rsidR="00EE356E" w:rsidRPr="00EE356E">
        <w:t>ing work</w:t>
      </w:r>
      <w:r w:rsidR="00604B20" w:rsidRPr="00EE356E">
        <w:t xml:space="preserve"> tasks, </w:t>
      </w:r>
      <w:r w:rsidR="00EE356E" w:rsidRPr="00EE356E">
        <w:t>due to the low-quality exchange relationship</w:t>
      </w:r>
      <w:r w:rsidR="00604B20" w:rsidRPr="00EE356E">
        <w:t xml:space="preserve"> (</w:t>
      </w:r>
      <w:r w:rsidR="00EE356E" w:rsidRPr="00EE356E">
        <w:t>Harris</w:t>
      </w:r>
      <w:r w:rsidR="00EF354D">
        <w:t xml:space="preserve"> et al.</w:t>
      </w:r>
      <w:r w:rsidR="00EE356E" w:rsidRPr="00EE356E">
        <w:t>, 2007</w:t>
      </w:r>
      <w:r w:rsidR="00604B20" w:rsidRPr="00EE356E">
        <w:t>).</w:t>
      </w:r>
      <w:r w:rsidR="00604B20" w:rsidRPr="004B1E86">
        <w:t xml:space="preserve"> </w:t>
      </w:r>
    </w:p>
    <w:p w14:paraId="5DEE1474" w14:textId="6B23FF52" w:rsidR="00D61781" w:rsidRPr="004B1E86" w:rsidRDefault="00D61781" w:rsidP="006A698E">
      <w:pPr>
        <w:spacing w:line="480" w:lineRule="auto"/>
      </w:pPr>
      <w:r w:rsidRPr="004B1E86">
        <w:tab/>
        <w:t xml:space="preserve">In sum, we expect </w:t>
      </w:r>
      <w:r w:rsidR="00B3132E">
        <w:t>high-</w:t>
      </w:r>
      <w:r w:rsidRPr="004B1E86">
        <w:t>BLM supervisors</w:t>
      </w:r>
      <w:r w:rsidR="00604B20">
        <w:t>, who are prone to self-interest</w:t>
      </w:r>
      <w:r w:rsidR="005C3946">
        <w:t>,</w:t>
      </w:r>
      <w:r w:rsidR="00604B20">
        <w:t xml:space="preserve"> a lack of concern for employee well-being,</w:t>
      </w:r>
      <w:r w:rsidR="005C3946">
        <w:t xml:space="preserve"> and treat</w:t>
      </w:r>
      <w:r w:rsidR="00A1275B">
        <w:t>ing</w:t>
      </w:r>
      <w:r w:rsidR="005C3946">
        <w:t xml:space="preserve"> employees as means to an end</w:t>
      </w:r>
      <w:r w:rsidRPr="004B1E86">
        <w:t xml:space="preserve"> </w:t>
      </w:r>
      <w:r w:rsidR="00515CD7">
        <w:t xml:space="preserve">will </w:t>
      </w:r>
      <w:r w:rsidRPr="004B1E86">
        <w:t xml:space="preserve">serve as low-quality </w:t>
      </w:r>
      <w:r w:rsidR="00100FB8" w:rsidRPr="004B1E86">
        <w:t xml:space="preserve">social </w:t>
      </w:r>
      <w:r w:rsidRPr="004B1E86">
        <w:t xml:space="preserve">exchange partners and thereby </w:t>
      </w:r>
      <w:r w:rsidR="007E5B06">
        <w:t>develop</w:t>
      </w:r>
      <w:r w:rsidR="007E5B06" w:rsidRPr="004B1E86">
        <w:t xml:space="preserve"> </w:t>
      </w:r>
      <w:r w:rsidRPr="004B1E86">
        <w:t>a negative reciprocity relationship with their employees</w:t>
      </w:r>
      <w:r w:rsidR="00193BB3">
        <w:t xml:space="preserve"> (e.g., Bernerth et al., 2007)</w:t>
      </w:r>
      <w:r w:rsidRPr="004B1E86">
        <w:t xml:space="preserve">. </w:t>
      </w:r>
      <w:r w:rsidR="00D12F54">
        <w:t>Further, these employees, experiencing low-quality LMX relationships as a result of supervisor BLMs</w:t>
      </w:r>
      <w:r w:rsidR="006A698E">
        <w:t>,</w:t>
      </w:r>
      <w:r w:rsidR="00604B20">
        <w:t xml:space="preserve"> will contribute to the relationship in their own negative way, by withholding or decreasing their performance, the very thing the supervisor most wants</w:t>
      </w:r>
      <w:r w:rsidR="00D12F54">
        <w:t xml:space="preserve">. </w:t>
      </w:r>
      <w:r w:rsidRPr="004B1E86">
        <w:t>Therefore, we hypothesize the following:</w:t>
      </w:r>
    </w:p>
    <w:p w14:paraId="11938441" w14:textId="4BFB7E12" w:rsidR="00D61781" w:rsidRPr="004B1E86" w:rsidRDefault="00D61781" w:rsidP="006A698E">
      <w:pPr>
        <w:spacing w:line="480" w:lineRule="auto"/>
        <w:ind w:left="720"/>
      </w:pPr>
      <w:r w:rsidRPr="004B1E86">
        <w:rPr>
          <w:i/>
        </w:rPr>
        <w:t>Hypothesis 2:</w:t>
      </w:r>
      <w:r w:rsidRPr="004B1E86">
        <w:t xml:space="preserve"> </w:t>
      </w:r>
      <w:r w:rsidR="005F6AA8">
        <w:t xml:space="preserve">Supervisor BLM will have a negative indirect effect on employee </w:t>
      </w:r>
      <w:r w:rsidR="00697A6B">
        <w:t xml:space="preserve">task </w:t>
      </w:r>
      <w:r w:rsidR="005F6AA8">
        <w:t xml:space="preserve">performance through a low-quality LMX relationship. </w:t>
      </w:r>
    </w:p>
    <w:p w14:paraId="2B2E5700" w14:textId="77777777" w:rsidR="00F7376F" w:rsidRPr="004B1E86" w:rsidRDefault="00F7376F" w:rsidP="006A698E">
      <w:pPr>
        <w:spacing w:line="480" w:lineRule="auto"/>
        <w:rPr>
          <w:rFonts w:eastAsia="Times New Roman"/>
          <w:i/>
          <w:color w:val="000000"/>
          <w:szCs w:val="24"/>
        </w:rPr>
      </w:pPr>
      <w:r w:rsidRPr="004B1E86">
        <w:rPr>
          <w:rFonts w:eastAsia="Times New Roman"/>
          <w:i/>
          <w:color w:val="000000"/>
          <w:szCs w:val="24"/>
        </w:rPr>
        <w:t>The Moderating Role of Employee BLM</w:t>
      </w:r>
    </w:p>
    <w:p w14:paraId="1F64E851" w14:textId="42AF4399" w:rsidR="00F32D7C" w:rsidRPr="00867E10" w:rsidRDefault="001D45F9" w:rsidP="000C5937">
      <w:pPr>
        <w:pStyle w:val="CommentText"/>
        <w:spacing w:line="480" w:lineRule="auto"/>
        <w:ind w:firstLine="720"/>
        <w:rPr>
          <w:szCs w:val="24"/>
          <w:highlight w:val="yellow"/>
        </w:rPr>
      </w:pPr>
      <w:r w:rsidRPr="001D45F9">
        <w:rPr>
          <w:sz w:val="24"/>
          <w:szCs w:val="24"/>
        </w:rPr>
        <w:t xml:space="preserve">Extant research suggests when employees and supervisors have differences in values and/or attitudes it results in lower-quality relationships (Dulebohn et al., 2012; Liden et al., 1993; Wayne </w:t>
      </w:r>
      <w:r w:rsidR="00EF354D">
        <w:rPr>
          <w:sz w:val="24"/>
          <w:szCs w:val="24"/>
        </w:rPr>
        <w:t>and</w:t>
      </w:r>
      <w:r w:rsidRPr="001D45F9">
        <w:rPr>
          <w:sz w:val="24"/>
          <w:szCs w:val="24"/>
        </w:rPr>
        <w:t xml:space="preserve"> Liden, 1995). </w:t>
      </w:r>
      <w:r w:rsidR="005F2E08">
        <w:rPr>
          <w:sz w:val="24"/>
          <w:szCs w:val="24"/>
        </w:rPr>
        <w:t>E</w:t>
      </w:r>
      <w:r w:rsidR="005F2E08" w:rsidRPr="005F2E08">
        <w:rPr>
          <w:sz w:val="24"/>
          <w:szCs w:val="24"/>
        </w:rPr>
        <w:t>mployees and supervisors can differ in their levels of BLM</w:t>
      </w:r>
      <w:r w:rsidR="006152CE" w:rsidRPr="006152CE">
        <w:rPr>
          <w:sz w:val="24"/>
          <w:szCs w:val="24"/>
          <w:vertAlign w:val="superscript"/>
        </w:rPr>
        <w:t>1</w:t>
      </w:r>
      <w:r w:rsidR="005F2E08" w:rsidRPr="005F2E08">
        <w:rPr>
          <w:sz w:val="24"/>
          <w:szCs w:val="24"/>
        </w:rPr>
        <w:t>, as past research conceptualizes and captures employee and supervisor BLM as two separate constructs (Greenbaum et a</w:t>
      </w:r>
      <w:r w:rsidR="009D1DED">
        <w:rPr>
          <w:sz w:val="24"/>
          <w:szCs w:val="24"/>
        </w:rPr>
        <w:t>l</w:t>
      </w:r>
      <w:r w:rsidR="005F2E08" w:rsidRPr="005F2E08">
        <w:rPr>
          <w:sz w:val="24"/>
          <w:szCs w:val="24"/>
        </w:rPr>
        <w:t xml:space="preserve">., 2012). </w:t>
      </w:r>
      <w:r>
        <w:rPr>
          <w:sz w:val="24"/>
          <w:szCs w:val="24"/>
        </w:rPr>
        <w:t>For th</w:t>
      </w:r>
      <w:r w:rsidR="00743938">
        <w:rPr>
          <w:sz w:val="24"/>
          <w:szCs w:val="24"/>
        </w:rPr>
        <w:t>is</w:t>
      </w:r>
      <w:r>
        <w:rPr>
          <w:sz w:val="24"/>
          <w:szCs w:val="24"/>
        </w:rPr>
        <w:t xml:space="preserve"> reason, it</w:t>
      </w:r>
      <w:r w:rsidR="005B1CB0" w:rsidRPr="004B1E86">
        <w:rPr>
          <w:sz w:val="24"/>
          <w:szCs w:val="24"/>
        </w:rPr>
        <w:t xml:space="preserve"> is also important to examine the </w:t>
      </w:r>
      <w:r>
        <w:rPr>
          <w:sz w:val="24"/>
          <w:szCs w:val="24"/>
        </w:rPr>
        <w:t>influence</w:t>
      </w:r>
      <w:r w:rsidR="005B1CB0" w:rsidRPr="004B1E86">
        <w:rPr>
          <w:sz w:val="24"/>
          <w:szCs w:val="24"/>
        </w:rPr>
        <w:t xml:space="preserve"> an employee’</w:t>
      </w:r>
      <w:r w:rsidR="009D4054" w:rsidRPr="004B1E86">
        <w:rPr>
          <w:sz w:val="24"/>
          <w:szCs w:val="24"/>
        </w:rPr>
        <w:t xml:space="preserve">s BLM, or lack thereof, </w:t>
      </w:r>
      <w:r>
        <w:rPr>
          <w:sz w:val="24"/>
          <w:szCs w:val="24"/>
        </w:rPr>
        <w:t>has on</w:t>
      </w:r>
      <w:r w:rsidR="009D4054" w:rsidRPr="004B1E86">
        <w:rPr>
          <w:sz w:val="24"/>
          <w:szCs w:val="24"/>
        </w:rPr>
        <w:t xml:space="preserve"> the perception of the </w:t>
      </w:r>
      <w:r w:rsidR="00734E6C">
        <w:rPr>
          <w:sz w:val="24"/>
          <w:szCs w:val="24"/>
        </w:rPr>
        <w:t xml:space="preserve">quality of an </w:t>
      </w:r>
      <w:r w:rsidR="009D4054" w:rsidRPr="004B1E86">
        <w:rPr>
          <w:sz w:val="24"/>
          <w:szCs w:val="24"/>
        </w:rPr>
        <w:t xml:space="preserve">LMX relationship </w:t>
      </w:r>
      <w:r w:rsidR="004B1E86" w:rsidRPr="004B1E86">
        <w:rPr>
          <w:sz w:val="24"/>
          <w:szCs w:val="24"/>
        </w:rPr>
        <w:t xml:space="preserve">with a </w:t>
      </w:r>
      <w:r w:rsidR="00B3132E">
        <w:rPr>
          <w:sz w:val="24"/>
          <w:szCs w:val="24"/>
        </w:rPr>
        <w:t>high-</w:t>
      </w:r>
      <w:r w:rsidR="004B1E86" w:rsidRPr="004B1E86">
        <w:rPr>
          <w:sz w:val="24"/>
          <w:szCs w:val="24"/>
        </w:rPr>
        <w:t xml:space="preserve">BLM supervisor </w:t>
      </w:r>
      <w:r w:rsidR="00734E6C">
        <w:rPr>
          <w:sz w:val="24"/>
          <w:szCs w:val="24"/>
        </w:rPr>
        <w:t>(</w:t>
      </w:r>
      <w:r w:rsidR="009D4054" w:rsidRPr="004B1E86">
        <w:rPr>
          <w:sz w:val="24"/>
          <w:szCs w:val="24"/>
        </w:rPr>
        <w:t xml:space="preserve">and </w:t>
      </w:r>
      <w:r w:rsidR="00734E6C">
        <w:rPr>
          <w:sz w:val="24"/>
          <w:szCs w:val="24"/>
        </w:rPr>
        <w:t>its subsequent influence on the</w:t>
      </w:r>
      <w:r w:rsidR="009D4054" w:rsidRPr="004B1E86">
        <w:rPr>
          <w:sz w:val="24"/>
          <w:szCs w:val="24"/>
        </w:rPr>
        <w:t xml:space="preserve"> </w:t>
      </w:r>
      <w:r w:rsidR="004B1E86" w:rsidRPr="004B1E86">
        <w:rPr>
          <w:sz w:val="24"/>
          <w:szCs w:val="24"/>
        </w:rPr>
        <w:t xml:space="preserve">employee’s </w:t>
      </w:r>
      <w:r w:rsidR="009D4054" w:rsidRPr="004B1E86">
        <w:rPr>
          <w:sz w:val="24"/>
          <w:szCs w:val="24"/>
        </w:rPr>
        <w:t>job performance</w:t>
      </w:r>
      <w:r w:rsidR="00734E6C">
        <w:rPr>
          <w:sz w:val="24"/>
          <w:szCs w:val="24"/>
        </w:rPr>
        <w:t>)</w:t>
      </w:r>
      <w:r w:rsidR="005B1CB0" w:rsidRPr="004B1E86">
        <w:rPr>
          <w:sz w:val="24"/>
          <w:szCs w:val="24"/>
        </w:rPr>
        <w:t xml:space="preserve">. </w:t>
      </w:r>
      <w:r w:rsidR="00C0053A">
        <w:rPr>
          <w:sz w:val="24"/>
          <w:szCs w:val="24"/>
        </w:rPr>
        <w:lastRenderedPageBreak/>
        <w:t xml:space="preserve">From a moderation perspective, </w:t>
      </w:r>
      <w:r w:rsidR="000310BD">
        <w:rPr>
          <w:sz w:val="24"/>
          <w:szCs w:val="24"/>
        </w:rPr>
        <w:t>past research has shown</w:t>
      </w:r>
      <w:r w:rsidR="00773E09">
        <w:rPr>
          <w:sz w:val="24"/>
          <w:szCs w:val="24"/>
        </w:rPr>
        <w:t xml:space="preserve"> supervisor BLM influences employee emotions and subsequent behaviors (Bonner et al., 2017)</w:t>
      </w:r>
      <w:r w:rsidR="00C0053A">
        <w:rPr>
          <w:sz w:val="24"/>
          <w:szCs w:val="24"/>
        </w:rPr>
        <w:t xml:space="preserve"> and employee BLM </w:t>
      </w:r>
      <w:r w:rsidR="000310BD">
        <w:rPr>
          <w:sz w:val="24"/>
          <w:szCs w:val="24"/>
        </w:rPr>
        <w:t>influences</w:t>
      </w:r>
      <w:r w:rsidR="00C0053A">
        <w:rPr>
          <w:sz w:val="24"/>
          <w:szCs w:val="24"/>
        </w:rPr>
        <w:t xml:space="preserve"> negative employee behaviors (</w:t>
      </w:r>
      <w:r w:rsidR="00C0053A" w:rsidRPr="00C0053A">
        <w:rPr>
          <w:sz w:val="24"/>
          <w:szCs w:val="24"/>
        </w:rPr>
        <w:t>Eissa</w:t>
      </w:r>
      <w:r w:rsidR="00C0053A">
        <w:rPr>
          <w:sz w:val="24"/>
          <w:szCs w:val="24"/>
        </w:rPr>
        <w:t xml:space="preserve"> et al.,</w:t>
      </w:r>
      <w:r w:rsidR="00C0053A" w:rsidRPr="00C0053A">
        <w:rPr>
          <w:sz w:val="24"/>
          <w:szCs w:val="24"/>
        </w:rPr>
        <w:t xml:space="preserve"> 2018</w:t>
      </w:r>
      <w:r w:rsidR="00C0053A">
        <w:rPr>
          <w:sz w:val="24"/>
          <w:szCs w:val="24"/>
        </w:rPr>
        <w:t>)</w:t>
      </w:r>
      <w:r w:rsidR="00773E09">
        <w:rPr>
          <w:sz w:val="24"/>
          <w:szCs w:val="24"/>
        </w:rPr>
        <w:t xml:space="preserve">. Additionally, Bonner and colleagues </w:t>
      </w:r>
      <w:r w:rsidR="00C0053A">
        <w:rPr>
          <w:sz w:val="24"/>
          <w:szCs w:val="24"/>
        </w:rPr>
        <w:t xml:space="preserve">(2017) </w:t>
      </w:r>
      <w:r w:rsidR="00773E09">
        <w:rPr>
          <w:sz w:val="24"/>
          <w:szCs w:val="24"/>
        </w:rPr>
        <w:t xml:space="preserve">speculated </w:t>
      </w:r>
      <w:r w:rsidR="00E750FB" w:rsidRPr="004B1E86">
        <w:rPr>
          <w:sz w:val="24"/>
          <w:szCs w:val="24"/>
        </w:rPr>
        <w:t xml:space="preserve">the interaction between </w:t>
      </w:r>
      <w:r w:rsidR="008D7B61" w:rsidRPr="004B1E86">
        <w:rPr>
          <w:sz w:val="24"/>
          <w:szCs w:val="24"/>
        </w:rPr>
        <w:t xml:space="preserve">differing levels of </w:t>
      </w:r>
      <w:r w:rsidR="00E750FB" w:rsidRPr="004B1E86">
        <w:rPr>
          <w:sz w:val="24"/>
          <w:szCs w:val="24"/>
        </w:rPr>
        <w:t xml:space="preserve">employee and supervisor BLM may </w:t>
      </w:r>
      <w:r w:rsidR="00B66314">
        <w:rPr>
          <w:sz w:val="24"/>
          <w:szCs w:val="24"/>
        </w:rPr>
        <w:t xml:space="preserve">also </w:t>
      </w:r>
      <w:r w:rsidR="00EE0E82">
        <w:rPr>
          <w:sz w:val="24"/>
          <w:szCs w:val="24"/>
        </w:rPr>
        <w:t xml:space="preserve">influence </w:t>
      </w:r>
      <w:r w:rsidR="008D7B61" w:rsidRPr="004B1E86">
        <w:rPr>
          <w:sz w:val="24"/>
          <w:szCs w:val="24"/>
        </w:rPr>
        <w:t>employee emotions and behaviors</w:t>
      </w:r>
      <w:r w:rsidR="00E750FB" w:rsidRPr="004B1E86">
        <w:rPr>
          <w:sz w:val="24"/>
          <w:szCs w:val="24"/>
        </w:rPr>
        <w:t xml:space="preserve">. </w:t>
      </w:r>
      <w:r w:rsidR="000310BD">
        <w:rPr>
          <w:sz w:val="24"/>
          <w:szCs w:val="24"/>
        </w:rPr>
        <w:t>Thus, w</w:t>
      </w:r>
      <w:r w:rsidR="005C178C" w:rsidRPr="004B1E86">
        <w:rPr>
          <w:sz w:val="24"/>
          <w:szCs w:val="24"/>
        </w:rPr>
        <w:t>e contend</w:t>
      </w:r>
      <w:r w:rsidR="00F32D7C" w:rsidRPr="004B1E86">
        <w:rPr>
          <w:sz w:val="24"/>
          <w:szCs w:val="24"/>
        </w:rPr>
        <w:t xml:space="preserve"> </w:t>
      </w:r>
      <w:r w:rsidR="00EB7947">
        <w:rPr>
          <w:sz w:val="24"/>
          <w:szCs w:val="24"/>
        </w:rPr>
        <w:t xml:space="preserve">employee BLM and supervisor BLM can </w:t>
      </w:r>
      <w:r w:rsidR="00A44926">
        <w:rPr>
          <w:sz w:val="24"/>
          <w:szCs w:val="24"/>
        </w:rPr>
        <w:t>differ,</w:t>
      </w:r>
      <w:r w:rsidR="00EB7947">
        <w:rPr>
          <w:sz w:val="24"/>
          <w:szCs w:val="24"/>
        </w:rPr>
        <w:t xml:space="preserve"> and that </w:t>
      </w:r>
      <w:r w:rsidR="00F32D7C" w:rsidRPr="004B1E86">
        <w:rPr>
          <w:sz w:val="24"/>
          <w:szCs w:val="24"/>
        </w:rPr>
        <w:t xml:space="preserve">employee BLM </w:t>
      </w:r>
      <w:r w:rsidR="00EE0E82">
        <w:rPr>
          <w:sz w:val="24"/>
          <w:szCs w:val="24"/>
        </w:rPr>
        <w:t>should</w:t>
      </w:r>
      <w:r w:rsidR="005C178C" w:rsidRPr="004B1E86">
        <w:rPr>
          <w:sz w:val="24"/>
          <w:szCs w:val="24"/>
        </w:rPr>
        <w:t xml:space="preserve"> </w:t>
      </w:r>
      <w:r w:rsidR="00F32D7C" w:rsidRPr="004B1E86">
        <w:rPr>
          <w:sz w:val="24"/>
          <w:szCs w:val="24"/>
        </w:rPr>
        <w:t xml:space="preserve">moderate the </w:t>
      </w:r>
      <w:r w:rsidR="004B1E86" w:rsidRPr="004B1E86">
        <w:rPr>
          <w:sz w:val="24"/>
          <w:szCs w:val="24"/>
        </w:rPr>
        <w:t>influence of supervisor BLM on employee</w:t>
      </w:r>
      <w:r w:rsidR="00F32D7C" w:rsidRPr="004B1E86">
        <w:rPr>
          <w:sz w:val="24"/>
          <w:szCs w:val="24"/>
        </w:rPr>
        <w:t xml:space="preserve"> perceptions of </w:t>
      </w:r>
      <w:r w:rsidR="004B1E86" w:rsidRPr="004B1E86">
        <w:rPr>
          <w:sz w:val="24"/>
          <w:szCs w:val="24"/>
        </w:rPr>
        <w:t>LMX</w:t>
      </w:r>
      <w:r w:rsidR="00F32D7C" w:rsidRPr="004B1E86">
        <w:rPr>
          <w:sz w:val="24"/>
          <w:szCs w:val="24"/>
        </w:rPr>
        <w:t xml:space="preserve"> and ultimately </w:t>
      </w:r>
      <w:r w:rsidR="004B1E86" w:rsidRPr="004B1E86">
        <w:rPr>
          <w:sz w:val="24"/>
          <w:szCs w:val="24"/>
        </w:rPr>
        <w:t>employee performance</w:t>
      </w:r>
      <w:r w:rsidR="00F32D7C" w:rsidRPr="004B1E86">
        <w:rPr>
          <w:sz w:val="24"/>
          <w:szCs w:val="24"/>
        </w:rPr>
        <w:t xml:space="preserve">. </w:t>
      </w:r>
    </w:p>
    <w:p w14:paraId="6B18FCFA" w14:textId="3F55E721" w:rsidR="00BE0E96" w:rsidRPr="00A21146" w:rsidRDefault="00422262" w:rsidP="009E17FE">
      <w:pPr>
        <w:pStyle w:val="CommentText"/>
        <w:spacing w:line="480" w:lineRule="auto"/>
        <w:ind w:firstLine="720"/>
        <w:rPr>
          <w:szCs w:val="24"/>
        </w:rPr>
      </w:pPr>
      <w:r w:rsidRPr="00A21146">
        <w:rPr>
          <w:sz w:val="24"/>
          <w:szCs w:val="24"/>
        </w:rPr>
        <w:t>The</w:t>
      </w:r>
      <w:r w:rsidR="00BE0E96" w:rsidRPr="00A21146">
        <w:rPr>
          <w:sz w:val="24"/>
          <w:szCs w:val="24"/>
        </w:rPr>
        <w:t xml:space="preserve"> self-centered, win-lose mentality</w:t>
      </w:r>
      <w:r w:rsidRPr="00A21146">
        <w:rPr>
          <w:sz w:val="24"/>
          <w:szCs w:val="24"/>
        </w:rPr>
        <w:t xml:space="preserve"> </w:t>
      </w:r>
      <w:r w:rsidR="00FC4EE9" w:rsidRPr="00A21146">
        <w:rPr>
          <w:sz w:val="24"/>
          <w:szCs w:val="24"/>
        </w:rPr>
        <w:t xml:space="preserve">engendered by </w:t>
      </w:r>
      <w:r w:rsidR="00E741CA" w:rsidRPr="00A21146">
        <w:rPr>
          <w:sz w:val="24"/>
          <w:szCs w:val="24"/>
        </w:rPr>
        <w:t xml:space="preserve">a high </w:t>
      </w:r>
      <w:r w:rsidR="00FC4EE9" w:rsidRPr="00A21146">
        <w:rPr>
          <w:sz w:val="24"/>
          <w:szCs w:val="24"/>
        </w:rPr>
        <w:t xml:space="preserve">supervisor BLM signals to </w:t>
      </w:r>
      <w:r w:rsidR="003E3C1B" w:rsidRPr="00A21146">
        <w:rPr>
          <w:sz w:val="24"/>
          <w:szCs w:val="24"/>
        </w:rPr>
        <w:t xml:space="preserve">the </w:t>
      </w:r>
      <w:r w:rsidR="00FC4EE9" w:rsidRPr="00A21146">
        <w:rPr>
          <w:sz w:val="24"/>
          <w:szCs w:val="24"/>
        </w:rPr>
        <w:t xml:space="preserve">employee that the supervisor is a </w:t>
      </w:r>
      <w:r w:rsidR="00BE0E96" w:rsidRPr="00A21146">
        <w:rPr>
          <w:sz w:val="24"/>
          <w:szCs w:val="24"/>
        </w:rPr>
        <w:t>low-quality</w:t>
      </w:r>
      <w:r w:rsidR="00FC4EE9" w:rsidRPr="00A21146">
        <w:rPr>
          <w:sz w:val="24"/>
          <w:szCs w:val="24"/>
        </w:rPr>
        <w:t xml:space="preserve"> exchange partner</w:t>
      </w:r>
      <w:r w:rsidR="00E741CA" w:rsidRPr="00A21146">
        <w:rPr>
          <w:sz w:val="24"/>
          <w:szCs w:val="24"/>
        </w:rPr>
        <w:t xml:space="preserve"> in general</w:t>
      </w:r>
      <w:r w:rsidR="00FC4EE9" w:rsidRPr="00A21146">
        <w:rPr>
          <w:sz w:val="24"/>
          <w:szCs w:val="24"/>
        </w:rPr>
        <w:t xml:space="preserve">, </w:t>
      </w:r>
      <w:r w:rsidR="00A21146">
        <w:rPr>
          <w:sz w:val="24"/>
          <w:szCs w:val="24"/>
        </w:rPr>
        <w:t>and</w:t>
      </w:r>
      <w:r w:rsidR="00A21146" w:rsidRPr="00A21146">
        <w:rPr>
          <w:sz w:val="24"/>
          <w:szCs w:val="24"/>
        </w:rPr>
        <w:t xml:space="preserve"> </w:t>
      </w:r>
      <w:r w:rsidR="00FC4EE9" w:rsidRPr="00A21146">
        <w:rPr>
          <w:sz w:val="24"/>
          <w:szCs w:val="24"/>
        </w:rPr>
        <w:t xml:space="preserve">we contend this effect </w:t>
      </w:r>
      <w:r w:rsidR="00BE0E96" w:rsidRPr="00A21146">
        <w:rPr>
          <w:sz w:val="24"/>
          <w:szCs w:val="24"/>
        </w:rPr>
        <w:t>may</w:t>
      </w:r>
      <w:r w:rsidR="00FC4EE9" w:rsidRPr="00A21146">
        <w:rPr>
          <w:sz w:val="24"/>
          <w:szCs w:val="24"/>
        </w:rPr>
        <w:t xml:space="preserve"> be strengthened</w:t>
      </w:r>
      <w:r w:rsidR="001D45F9" w:rsidRPr="00A21146">
        <w:rPr>
          <w:sz w:val="24"/>
          <w:szCs w:val="24"/>
        </w:rPr>
        <w:t xml:space="preserve"> or mitigated</w:t>
      </w:r>
      <w:r w:rsidR="00FC4EE9" w:rsidRPr="00A21146">
        <w:rPr>
          <w:sz w:val="24"/>
          <w:szCs w:val="24"/>
        </w:rPr>
        <w:t xml:space="preserve"> by the degree to which the employee </w:t>
      </w:r>
      <w:r w:rsidR="00C7537E" w:rsidRPr="00A21146">
        <w:rPr>
          <w:sz w:val="24"/>
          <w:szCs w:val="24"/>
        </w:rPr>
        <w:t xml:space="preserve">also </w:t>
      </w:r>
      <w:r w:rsidR="00FC4EE9" w:rsidRPr="00A21146">
        <w:rPr>
          <w:sz w:val="24"/>
          <w:szCs w:val="24"/>
        </w:rPr>
        <w:t xml:space="preserve">holds a BLM. </w:t>
      </w:r>
      <w:r w:rsidR="001D45F9" w:rsidRPr="00A21146">
        <w:rPr>
          <w:sz w:val="24"/>
          <w:szCs w:val="24"/>
        </w:rPr>
        <w:t>W</w:t>
      </w:r>
      <w:r w:rsidR="00BE0E96" w:rsidRPr="00A21146">
        <w:rPr>
          <w:sz w:val="24"/>
          <w:szCs w:val="24"/>
        </w:rPr>
        <w:t xml:space="preserve">hen employees are low in BLM while their supervisors are high in BLM, </w:t>
      </w:r>
      <w:r w:rsidR="001D45F9" w:rsidRPr="00A21146">
        <w:rPr>
          <w:sz w:val="24"/>
          <w:szCs w:val="24"/>
        </w:rPr>
        <w:t>the dissimilarity may adversely influence the perceived quality of the relationship (i.e., strengthen the negative relationship</w:t>
      </w:r>
      <w:r w:rsidR="00D52823" w:rsidRPr="00A21146">
        <w:rPr>
          <w:sz w:val="24"/>
          <w:szCs w:val="24"/>
        </w:rPr>
        <w:t xml:space="preserve">; </w:t>
      </w:r>
      <w:r w:rsidR="004F64FC" w:rsidRPr="00A21146">
        <w:rPr>
          <w:sz w:val="24"/>
          <w:szCs w:val="24"/>
        </w:rPr>
        <w:t>e.g., Dulebohn et al., 2012)</w:t>
      </w:r>
      <w:r w:rsidR="00D31527" w:rsidRPr="00A21146">
        <w:rPr>
          <w:sz w:val="24"/>
          <w:szCs w:val="24"/>
        </w:rPr>
        <w:t>.</w:t>
      </w:r>
      <w:r w:rsidR="00BE0E96" w:rsidRPr="00A21146">
        <w:rPr>
          <w:sz w:val="24"/>
          <w:szCs w:val="24"/>
        </w:rPr>
        <w:t xml:space="preserve"> </w:t>
      </w:r>
      <w:r w:rsidR="00215521" w:rsidRPr="00A21146">
        <w:rPr>
          <w:sz w:val="24"/>
          <w:szCs w:val="24"/>
        </w:rPr>
        <w:t xml:space="preserve">In this instance, employees </w:t>
      </w:r>
      <w:r w:rsidR="001D45F9" w:rsidRPr="00A21146">
        <w:rPr>
          <w:sz w:val="24"/>
          <w:szCs w:val="24"/>
        </w:rPr>
        <w:t xml:space="preserve">would </w:t>
      </w:r>
      <w:r w:rsidR="00215521" w:rsidRPr="00A21146">
        <w:rPr>
          <w:sz w:val="24"/>
          <w:szCs w:val="24"/>
        </w:rPr>
        <w:t>believe there is more to be considered than just the bottom line</w:t>
      </w:r>
      <w:r w:rsidR="00D31527" w:rsidRPr="00A21146">
        <w:rPr>
          <w:sz w:val="24"/>
          <w:szCs w:val="24"/>
        </w:rPr>
        <w:t xml:space="preserve">, including employee </w:t>
      </w:r>
      <w:r w:rsidR="006E233A" w:rsidRPr="00A21146">
        <w:rPr>
          <w:sz w:val="24"/>
          <w:szCs w:val="24"/>
        </w:rPr>
        <w:t>well-being</w:t>
      </w:r>
      <w:r w:rsidR="001D45F9" w:rsidRPr="00A21146">
        <w:rPr>
          <w:sz w:val="24"/>
          <w:szCs w:val="24"/>
        </w:rPr>
        <w:t xml:space="preserve"> (Greenbaum et al., 2012)</w:t>
      </w:r>
      <w:r w:rsidR="00D31527" w:rsidRPr="00A21146">
        <w:rPr>
          <w:sz w:val="24"/>
          <w:szCs w:val="24"/>
        </w:rPr>
        <w:t xml:space="preserve">. </w:t>
      </w:r>
      <w:r w:rsidR="006E233A" w:rsidRPr="00A21146">
        <w:rPr>
          <w:sz w:val="24"/>
          <w:szCs w:val="24"/>
        </w:rPr>
        <w:t xml:space="preserve">However, that same attitude </w:t>
      </w:r>
      <w:r w:rsidR="001D45F9" w:rsidRPr="00A21146">
        <w:rPr>
          <w:sz w:val="24"/>
          <w:szCs w:val="24"/>
        </w:rPr>
        <w:t>would</w:t>
      </w:r>
      <w:r w:rsidR="006E233A" w:rsidRPr="00A21146">
        <w:rPr>
          <w:sz w:val="24"/>
          <w:szCs w:val="24"/>
        </w:rPr>
        <w:t xml:space="preserve"> not</w:t>
      </w:r>
      <w:r w:rsidR="001D45F9" w:rsidRPr="00A21146">
        <w:rPr>
          <w:sz w:val="24"/>
          <w:szCs w:val="24"/>
        </w:rPr>
        <w:t xml:space="preserve"> be</w:t>
      </w:r>
      <w:r w:rsidR="006E233A" w:rsidRPr="00A21146">
        <w:rPr>
          <w:sz w:val="24"/>
          <w:szCs w:val="24"/>
        </w:rPr>
        <w:t xml:space="preserve"> held by their</w:t>
      </w:r>
      <w:r w:rsidR="00F07E9B" w:rsidRPr="00A21146">
        <w:rPr>
          <w:sz w:val="24"/>
          <w:szCs w:val="24"/>
        </w:rPr>
        <w:t xml:space="preserve"> high</w:t>
      </w:r>
      <w:r w:rsidR="00B3132E" w:rsidRPr="00A21146">
        <w:rPr>
          <w:sz w:val="24"/>
          <w:szCs w:val="24"/>
        </w:rPr>
        <w:t>-</w:t>
      </w:r>
      <w:r w:rsidR="006E233A" w:rsidRPr="00A21146">
        <w:rPr>
          <w:sz w:val="24"/>
          <w:szCs w:val="24"/>
        </w:rPr>
        <w:t>BLM supervisor. This contrasting view on what should be focused on within the organization will lead to poor LMX perceptions</w:t>
      </w:r>
      <w:r w:rsidR="001D45F9" w:rsidRPr="00A21146">
        <w:rPr>
          <w:sz w:val="24"/>
          <w:szCs w:val="24"/>
        </w:rPr>
        <w:t>.</w:t>
      </w:r>
      <w:r w:rsidR="00BA6187" w:rsidRPr="00A21146">
        <w:rPr>
          <w:sz w:val="24"/>
          <w:szCs w:val="24"/>
        </w:rPr>
        <w:t xml:space="preserve"> Indeed, when supervisors and employees differ </w:t>
      </w:r>
      <w:r w:rsidR="00C0053A" w:rsidRPr="00A21146">
        <w:rPr>
          <w:sz w:val="24"/>
          <w:szCs w:val="24"/>
        </w:rPr>
        <w:t xml:space="preserve">in attitudes </w:t>
      </w:r>
      <w:r w:rsidR="00BA6187" w:rsidRPr="00A21146">
        <w:rPr>
          <w:sz w:val="24"/>
          <w:szCs w:val="24"/>
        </w:rPr>
        <w:t>it can create barriers or detachment, which serve to deteriorate the social exchange relationship (</w:t>
      </w:r>
      <w:r w:rsidR="00C0053A" w:rsidRPr="00A21146">
        <w:rPr>
          <w:sz w:val="24"/>
          <w:szCs w:val="24"/>
        </w:rPr>
        <w:t xml:space="preserve">Dulebohn et al., 2012; </w:t>
      </w:r>
      <w:r w:rsidR="00BA6187" w:rsidRPr="00A21146">
        <w:rPr>
          <w:sz w:val="24"/>
          <w:szCs w:val="24"/>
        </w:rPr>
        <w:t>Uhl-Bien, 2006).</w:t>
      </w:r>
      <w:r w:rsidR="001D45F9" w:rsidRPr="00A21146">
        <w:rPr>
          <w:sz w:val="24"/>
          <w:szCs w:val="24"/>
        </w:rPr>
        <w:t xml:space="preserve"> Additionally, research has shown attitude dissimilarity results in decreased evaluations of employee performance (Tepper</w:t>
      </w:r>
      <w:r w:rsidR="00EF354D" w:rsidRPr="00A21146">
        <w:rPr>
          <w:sz w:val="24"/>
          <w:szCs w:val="24"/>
        </w:rPr>
        <w:t xml:space="preserve"> et al.</w:t>
      </w:r>
      <w:r w:rsidR="001D45F9" w:rsidRPr="00A21146">
        <w:rPr>
          <w:sz w:val="24"/>
          <w:szCs w:val="24"/>
        </w:rPr>
        <w:t>, 2011). Thus, we anticipate in situations when employee BLM is low while supervisor BLM is high, there will also be a negative conditional indirect effect on employee performance.</w:t>
      </w:r>
    </w:p>
    <w:p w14:paraId="7F8B7C3E" w14:textId="487D50C6" w:rsidR="006519F0" w:rsidRDefault="001D45F9" w:rsidP="00E9279D">
      <w:pPr>
        <w:spacing w:line="480" w:lineRule="auto"/>
        <w:ind w:firstLine="720"/>
      </w:pPr>
      <w:r>
        <w:rPr>
          <w:szCs w:val="24"/>
        </w:rPr>
        <w:lastRenderedPageBreak/>
        <w:t>However, i</w:t>
      </w:r>
      <w:r w:rsidR="00411774">
        <w:rPr>
          <w:szCs w:val="24"/>
        </w:rPr>
        <w:t>n i</w:t>
      </w:r>
      <w:r w:rsidR="006E233A">
        <w:rPr>
          <w:szCs w:val="24"/>
        </w:rPr>
        <w:t xml:space="preserve">nstances </w:t>
      </w:r>
      <w:r w:rsidR="00411774">
        <w:rPr>
          <w:szCs w:val="24"/>
        </w:rPr>
        <w:t xml:space="preserve">where </w:t>
      </w:r>
      <w:r w:rsidR="006E233A">
        <w:rPr>
          <w:szCs w:val="24"/>
        </w:rPr>
        <w:t>an employee is high in BLM</w:t>
      </w:r>
      <w:r w:rsidR="00411774">
        <w:rPr>
          <w:szCs w:val="24"/>
        </w:rPr>
        <w:t>,</w:t>
      </w:r>
      <w:r w:rsidR="006E233A">
        <w:rPr>
          <w:szCs w:val="24"/>
        </w:rPr>
        <w:t xml:space="preserve"> the </w:t>
      </w:r>
      <w:r>
        <w:rPr>
          <w:szCs w:val="24"/>
        </w:rPr>
        <w:t>perceived similarity in BLM attitudes between the employee and the supervisor could serve to mitigate the negative influence of supervisor</w:t>
      </w:r>
      <w:r w:rsidR="006E233A">
        <w:rPr>
          <w:szCs w:val="24"/>
        </w:rPr>
        <w:t xml:space="preserve"> BLM on employee perceptions of LMX and subsequent performance. </w:t>
      </w:r>
      <w:r>
        <w:rPr>
          <w:szCs w:val="24"/>
        </w:rPr>
        <w:t xml:space="preserve">It is well established that considering oneself similar to another person in terms of attitudes is predictive of affect for or liking of that person (Byrne, 1971; Fisher </w:t>
      </w:r>
      <w:r w:rsidR="00EF354D">
        <w:rPr>
          <w:szCs w:val="24"/>
        </w:rPr>
        <w:t>and</w:t>
      </w:r>
      <w:r>
        <w:rPr>
          <w:szCs w:val="24"/>
        </w:rPr>
        <w:t xml:space="preserve"> Gitelson, 1983). </w:t>
      </w:r>
      <w:r w:rsidR="00BA6187">
        <w:rPr>
          <w:szCs w:val="24"/>
        </w:rPr>
        <w:t xml:space="preserve">Furthermore, having perceived similarity in the workplace can lead to enhanced communication (Fairhurst, 2001), which is valuable in enhancing social exchange relationships. </w:t>
      </w:r>
      <w:r>
        <w:rPr>
          <w:szCs w:val="24"/>
        </w:rPr>
        <w:t>Thus, i</w:t>
      </w:r>
      <w:r w:rsidR="0020154F" w:rsidRPr="000C5937">
        <w:t>f an employee and supervisor</w:t>
      </w:r>
      <w:r>
        <w:t xml:space="preserve"> share similar high BLMs</w:t>
      </w:r>
      <w:r w:rsidR="0020154F" w:rsidRPr="000C5937">
        <w:t>, it is likely th</w:t>
      </w:r>
      <w:r>
        <w:t>at</w:t>
      </w:r>
      <w:r w:rsidR="0020154F" w:rsidRPr="000C5937">
        <w:t xml:space="preserve"> employee will </w:t>
      </w:r>
      <w:r>
        <w:t xml:space="preserve">have greater affinity for </w:t>
      </w:r>
      <w:r w:rsidR="0020154F" w:rsidRPr="000C5937">
        <w:t xml:space="preserve">the singular focus of the supervisor than </w:t>
      </w:r>
      <w:r>
        <w:t>an</w:t>
      </w:r>
      <w:r w:rsidR="0020154F" w:rsidRPr="000C5937">
        <w:t xml:space="preserve"> employee who holds a low BLM</w:t>
      </w:r>
      <w:r>
        <w:t>, which would result in greater LMX perceptions</w:t>
      </w:r>
      <w:r w:rsidR="0020154F" w:rsidRPr="000C5937">
        <w:rPr>
          <w:szCs w:val="24"/>
        </w:rPr>
        <w:t>.</w:t>
      </w:r>
      <w:r w:rsidR="0020154F" w:rsidRPr="000C5937">
        <w:t xml:space="preserve"> </w:t>
      </w:r>
    </w:p>
    <w:p w14:paraId="0223B877" w14:textId="5D90ACC9" w:rsidR="00F7376F" w:rsidRPr="000C5937" w:rsidRDefault="00F32D7C" w:rsidP="000C5937">
      <w:pPr>
        <w:spacing w:line="480" w:lineRule="auto"/>
        <w:ind w:firstLine="720"/>
      </w:pPr>
      <w:r w:rsidRPr="00B60A19">
        <w:t xml:space="preserve">In sum, we </w:t>
      </w:r>
      <w:r w:rsidR="00AF157A" w:rsidRPr="00B60A19">
        <w:t>argue</w:t>
      </w:r>
      <w:r w:rsidRPr="00B60A19">
        <w:t xml:space="preserve"> employee BLM </w:t>
      </w:r>
      <w:r w:rsidR="003D7E62" w:rsidRPr="00B60A19">
        <w:t xml:space="preserve">serves as a condition under which the effects of supervisor BLM </w:t>
      </w:r>
      <w:r w:rsidR="00EE4DF6" w:rsidRPr="00B60A19">
        <w:t>are</w:t>
      </w:r>
      <w:r w:rsidR="003D7E62" w:rsidRPr="00B60A19">
        <w:t xml:space="preserve"> </w:t>
      </w:r>
      <w:r w:rsidR="00D52823">
        <w:t>impacted</w:t>
      </w:r>
      <w:r w:rsidR="003D7E62" w:rsidRPr="00B60A19">
        <w:t xml:space="preserve">. More specifically, we argue when </w:t>
      </w:r>
      <w:r w:rsidR="001A5F64" w:rsidRPr="00B60A19">
        <w:t xml:space="preserve">employee BLM is low </w:t>
      </w:r>
      <w:r w:rsidR="009B1ACD" w:rsidRPr="00B60A19">
        <w:t>it is likely to result in a</w:t>
      </w:r>
      <w:r w:rsidR="00203C53" w:rsidRPr="00B60A19">
        <w:t>n even</w:t>
      </w:r>
      <w:r w:rsidR="000D00EC" w:rsidRPr="00B60A19">
        <w:t xml:space="preserve"> </w:t>
      </w:r>
      <w:r w:rsidR="009B1ACD" w:rsidRPr="00B60A19">
        <w:t>low</w:t>
      </w:r>
      <w:r w:rsidR="00055288" w:rsidRPr="00B60A19">
        <w:t>er</w:t>
      </w:r>
      <w:r w:rsidR="009B1ACD" w:rsidRPr="00B60A19">
        <w:t xml:space="preserve">-quality </w:t>
      </w:r>
      <w:r w:rsidR="000C5937" w:rsidRPr="00B60A19">
        <w:t>LMX</w:t>
      </w:r>
      <w:r w:rsidR="00966A7E" w:rsidRPr="00B60A19">
        <w:t xml:space="preserve"> </w:t>
      </w:r>
      <w:r w:rsidR="009B1ACD" w:rsidRPr="00B60A19">
        <w:t>relationship</w:t>
      </w:r>
      <w:r w:rsidR="003D7E62" w:rsidRPr="00B60A19">
        <w:t xml:space="preserve">, </w:t>
      </w:r>
      <w:r w:rsidR="00E1002E" w:rsidRPr="00B60A19">
        <w:t xml:space="preserve">and </w:t>
      </w:r>
      <w:r w:rsidR="000C5937" w:rsidRPr="00B60A19">
        <w:t>lower performance</w:t>
      </w:r>
      <w:r w:rsidR="003D7E62" w:rsidRPr="00B60A19">
        <w:t xml:space="preserve">. </w:t>
      </w:r>
      <w:r w:rsidR="009B1ACD" w:rsidRPr="00B60A19">
        <w:t xml:space="preserve">However, when </w:t>
      </w:r>
      <w:r w:rsidR="001A5F64" w:rsidRPr="00B60A19">
        <w:t>employee BLM is high</w:t>
      </w:r>
      <w:r w:rsidR="009B1ACD" w:rsidRPr="00B60A19">
        <w:t xml:space="preserve">, the </w:t>
      </w:r>
      <w:r w:rsidR="000C5937" w:rsidRPr="00B60A19">
        <w:t xml:space="preserve">perception of the LMX </w:t>
      </w:r>
      <w:r w:rsidR="009B1ACD" w:rsidRPr="00B60A19">
        <w:t>relationship</w:t>
      </w:r>
      <w:r w:rsidR="001A5F64" w:rsidRPr="00B60A19">
        <w:t>, though still of a lower-quality,</w:t>
      </w:r>
      <w:r w:rsidR="009B1ACD" w:rsidRPr="00B60A19">
        <w:t xml:space="preserve"> </w:t>
      </w:r>
      <w:r w:rsidR="00B043C8" w:rsidRPr="00B60A19">
        <w:t xml:space="preserve">will be </w:t>
      </w:r>
      <w:r w:rsidR="00B60A19" w:rsidRPr="00B60A19">
        <w:t>mitigated</w:t>
      </w:r>
      <w:r w:rsidR="009B1ACD" w:rsidRPr="00B60A19">
        <w:t xml:space="preserve"> and the </w:t>
      </w:r>
      <w:r w:rsidR="000C5937" w:rsidRPr="00B60A19">
        <w:t>subsequent impact on employee performance</w:t>
      </w:r>
      <w:r w:rsidR="009B1ACD" w:rsidRPr="00B60A19">
        <w:t xml:space="preserve"> </w:t>
      </w:r>
      <w:r w:rsidR="00D52823">
        <w:t xml:space="preserve">will be </w:t>
      </w:r>
      <w:r w:rsidR="009B1ACD" w:rsidRPr="00B60A19">
        <w:t xml:space="preserve">less severe. </w:t>
      </w:r>
      <w:r w:rsidR="007D0686" w:rsidRPr="00B60A19">
        <w:t>Therefore</w:t>
      </w:r>
      <w:r w:rsidRPr="00B60A19">
        <w:t>, we hypothesize the following:</w:t>
      </w:r>
    </w:p>
    <w:p w14:paraId="1DBC27D2" w14:textId="7C3D2E4C" w:rsidR="00F7376F" w:rsidRPr="00B60A19" w:rsidRDefault="00F7376F" w:rsidP="000C5937">
      <w:pPr>
        <w:spacing w:line="480" w:lineRule="auto"/>
        <w:ind w:firstLine="720"/>
        <w:rPr>
          <w:rFonts w:eastAsia="Times New Roman"/>
          <w:i/>
          <w:color w:val="000000"/>
          <w:szCs w:val="24"/>
        </w:rPr>
      </w:pPr>
      <w:r w:rsidRPr="00B60A19">
        <w:rPr>
          <w:rFonts w:eastAsia="Times New Roman"/>
          <w:i/>
          <w:color w:val="000000"/>
          <w:szCs w:val="24"/>
        </w:rPr>
        <w:t>Hypothesis 3:</w:t>
      </w:r>
      <w:r w:rsidRPr="00B60A19">
        <w:rPr>
          <w:rFonts w:eastAsia="Times New Roman"/>
          <w:color w:val="000000"/>
          <w:szCs w:val="24"/>
        </w:rPr>
        <w:t xml:space="preserve"> Employee BLM moderates the relationship between supervisor BLM and </w:t>
      </w:r>
      <w:r w:rsidRPr="00B60A19">
        <w:rPr>
          <w:rFonts w:eastAsia="Times New Roman"/>
          <w:color w:val="000000"/>
          <w:szCs w:val="24"/>
        </w:rPr>
        <w:tab/>
        <w:t xml:space="preserve">employee </w:t>
      </w:r>
      <w:r w:rsidR="006519F0" w:rsidRPr="00B60A19">
        <w:rPr>
          <w:rFonts w:eastAsia="Times New Roman"/>
          <w:color w:val="000000"/>
          <w:szCs w:val="24"/>
        </w:rPr>
        <w:t>perceptions of the LMX relationship</w:t>
      </w:r>
      <w:r w:rsidRPr="00B60A19">
        <w:rPr>
          <w:rFonts w:eastAsia="Times New Roman"/>
          <w:color w:val="000000"/>
          <w:szCs w:val="24"/>
        </w:rPr>
        <w:t xml:space="preserve">, such that the negative relationship is </w:t>
      </w:r>
      <w:r w:rsidR="006519F0" w:rsidRPr="00B60A19">
        <w:rPr>
          <w:rFonts w:eastAsia="Times New Roman"/>
          <w:color w:val="000000"/>
          <w:szCs w:val="24"/>
        </w:rPr>
        <w:tab/>
      </w:r>
      <w:r w:rsidRPr="00B60A19">
        <w:rPr>
          <w:rFonts w:eastAsia="Times New Roman"/>
          <w:color w:val="000000"/>
          <w:szCs w:val="24"/>
        </w:rPr>
        <w:t xml:space="preserve">stronger when </w:t>
      </w:r>
      <w:r w:rsidRPr="00B60A19">
        <w:rPr>
          <w:rFonts w:eastAsia="Times New Roman"/>
          <w:color w:val="000000"/>
          <w:szCs w:val="24"/>
        </w:rPr>
        <w:tab/>
        <w:t>employee BLM is low.</w:t>
      </w:r>
      <w:r w:rsidRPr="00B60A19">
        <w:rPr>
          <w:rFonts w:eastAsia="Times New Roman"/>
          <w:i/>
          <w:color w:val="000000"/>
          <w:szCs w:val="24"/>
        </w:rPr>
        <w:t xml:space="preserve">  </w:t>
      </w:r>
    </w:p>
    <w:p w14:paraId="6E97BA91" w14:textId="4FF5A93A" w:rsidR="00EC3795" w:rsidRPr="006519F0" w:rsidRDefault="00F7376F" w:rsidP="000C5937">
      <w:pPr>
        <w:spacing w:line="480" w:lineRule="auto"/>
        <w:ind w:firstLine="720"/>
        <w:rPr>
          <w:i/>
        </w:rPr>
      </w:pPr>
      <w:r w:rsidRPr="00B60A19">
        <w:rPr>
          <w:rFonts w:eastAsia="Times New Roman"/>
          <w:i/>
          <w:color w:val="000000"/>
          <w:szCs w:val="24"/>
        </w:rPr>
        <w:t xml:space="preserve">Hypothesis 4: </w:t>
      </w:r>
      <w:r w:rsidRPr="00B60A19">
        <w:rPr>
          <w:rFonts w:eastAsia="Times New Roman"/>
          <w:color w:val="000000"/>
          <w:szCs w:val="24"/>
        </w:rPr>
        <w:t xml:space="preserve">Employee BLM moderates the strength of the indirect relationship between </w:t>
      </w:r>
      <w:r w:rsidRPr="00B60A19">
        <w:rPr>
          <w:rFonts w:eastAsia="Times New Roman"/>
          <w:color w:val="000000"/>
          <w:szCs w:val="24"/>
        </w:rPr>
        <w:tab/>
        <w:t xml:space="preserve">supervisor BLM and employee </w:t>
      </w:r>
      <w:r w:rsidR="00B83C02" w:rsidRPr="00B60A19">
        <w:rPr>
          <w:rFonts w:eastAsia="Times New Roman"/>
          <w:color w:val="000000"/>
          <w:szCs w:val="24"/>
        </w:rPr>
        <w:t>task performance</w:t>
      </w:r>
      <w:r w:rsidR="008D04D1" w:rsidRPr="00B60A19">
        <w:rPr>
          <w:rFonts w:eastAsia="Times New Roman"/>
          <w:color w:val="000000"/>
          <w:szCs w:val="24"/>
        </w:rPr>
        <w:t xml:space="preserve"> </w:t>
      </w:r>
      <w:r w:rsidRPr="00B60A19">
        <w:rPr>
          <w:rFonts w:eastAsia="Times New Roman"/>
          <w:color w:val="000000"/>
          <w:szCs w:val="24"/>
        </w:rPr>
        <w:t xml:space="preserve">via employee </w:t>
      </w:r>
      <w:r w:rsidR="008D04D1" w:rsidRPr="00B60A19">
        <w:rPr>
          <w:rFonts w:eastAsia="Times New Roman"/>
          <w:color w:val="000000"/>
          <w:szCs w:val="24"/>
        </w:rPr>
        <w:t xml:space="preserve">perceptions of </w:t>
      </w:r>
      <w:r w:rsidR="006C6E99">
        <w:rPr>
          <w:rFonts w:eastAsia="Times New Roman"/>
          <w:color w:val="000000"/>
          <w:szCs w:val="24"/>
        </w:rPr>
        <w:t xml:space="preserve">the </w:t>
      </w:r>
      <w:r w:rsidR="008D04D1" w:rsidRPr="00B60A19">
        <w:rPr>
          <w:rFonts w:eastAsia="Times New Roman"/>
          <w:color w:val="000000"/>
          <w:szCs w:val="24"/>
        </w:rPr>
        <w:t>LMX</w:t>
      </w:r>
      <w:r w:rsidR="006C6E99">
        <w:rPr>
          <w:rFonts w:eastAsia="Times New Roman"/>
          <w:color w:val="000000"/>
          <w:szCs w:val="24"/>
        </w:rPr>
        <w:t xml:space="preserve"> </w:t>
      </w:r>
      <w:r w:rsidR="006C6E99">
        <w:rPr>
          <w:rFonts w:eastAsia="Times New Roman"/>
          <w:color w:val="000000"/>
          <w:szCs w:val="24"/>
        </w:rPr>
        <w:tab/>
        <w:t>relationship</w:t>
      </w:r>
      <w:r w:rsidRPr="00B60A19">
        <w:rPr>
          <w:rFonts w:eastAsia="Times New Roman"/>
          <w:color w:val="000000"/>
          <w:szCs w:val="24"/>
        </w:rPr>
        <w:t>, such</w:t>
      </w:r>
      <w:r w:rsidR="006C6E99">
        <w:rPr>
          <w:rFonts w:eastAsia="Times New Roman"/>
          <w:color w:val="000000"/>
          <w:szCs w:val="24"/>
        </w:rPr>
        <w:t xml:space="preserve"> </w:t>
      </w:r>
      <w:r w:rsidRPr="00B60A19">
        <w:rPr>
          <w:rFonts w:eastAsia="Times New Roman"/>
          <w:color w:val="000000"/>
          <w:szCs w:val="24"/>
        </w:rPr>
        <w:t>that the mediated relationship is stronger when employee BLM is low.</w:t>
      </w:r>
    </w:p>
    <w:p w14:paraId="7FB155D5" w14:textId="79B56DF0" w:rsidR="00830A50" w:rsidRDefault="00830A50" w:rsidP="000C5937">
      <w:pPr>
        <w:spacing w:line="480" w:lineRule="auto"/>
        <w:jc w:val="center"/>
      </w:pPr>
      <w:r>
        <w:t>Overview of Studies</w:t>
      </w:r>
    </w:p>
    <w:p w14:paraId="404779B0" w14:textId="034EBE4F" w:rsidR="00830A50" w:rsidRDefault="00830A50" w:rsidP="00830A50">
      <w:pPr>
        <w:spacing w:line="480" w:lineRule="auto"/>
      </w:pPr>
      <w:r>
        <w:lastRenderedPageBreak/>
        <w:tab/>
        <w:t xml:space="preserve">We conducted two independent studies to test our hypotheses. Study 1 is a time-lagged, multi-source field study wherein LMX is </w:t>
      </w:r>
      <w:r w:rsidR="00036523">
        <w:t xml:space="preserve">assessed </w:t>
      </w:r>
      <w:r>
        <w:t>using Liden and Maslyn’s measure (1998).</w:t>
      </w:r>
      <w:r w:rsidR="00A80DFB">
        <w:t xml:space="preserve"> Although this is one of the most common measures of LMX (Joseph et al., 2011), it </w:t>
      </w:r>
      <w:r w:rsidR="00B03646">
        <w:t>is multidimensional in nature and thus could have introduced some concerns regarding overlapping of constructs within our model. Thus, we conducted a second study to</w:t>
      </w:r>
      <w:r>
        <w:t xml:space="preserve"> replicate our results </w:t>
      </w:r>
      <w:r w:rsidR="00E13A03">
        <w:t xml:space="preserve">and add robustness to our findings by using </w:t>
      </w:r>
      <w:r>
        <w:t>an alternative measure of LMX</w:t>
      </w:r>
      <w:r w:rsidR="00E13A03">
        <w:t xml:space="preserve">, thereby </w:t>
      </w:r>
      <w:r>
        <w:t>increas</w:t>
      </w:r>
      <w:r w:rsidR="00E13A03">
        <w:t>ing</w:t>
      </w:r>
      <w:r>
        <w:t xml:space="preserve"> confidence in our results</w:t>
      </w:r>
      <w:r w:rsidR="00B03646">
        <w:t xml:space="preserve"> (Lykken, 1968)</w:t>
      </w:r>
      <w:r>
        <w:t xml:space="preserve">. </w:t>
      </w:r>
      <w:r w:rsidR="00B03646">
        <w:t xml:space="preserve">In </w:t>
      </w:r>
      <w:r>
        <w:t>Study 2</w:t>
      </w:r>
      <w:r w:rsidR="00B03646">
        <w:t>,</w:t>
      </w:r>
      <w:r>
        <w:t xml:space="preserve"> also a time-lagged, multi-source field study</w:t>
      </w:r>
      <w:r w:rsidR="00B03646">
        <w:t>, we utilized</w:t>
      </w:r>
      <w:r>
        <w:t xml:space="preserve"> a</w:t>
      </w:r>
      <w:r w:rsidR="00036523">
        <w:t xml:space="preserve"> different</w:t>
      </w:r>
      <w:r>
        <w:t xml:space="preserve"> measure of LMX</w:t>
      </w:r>
      <w:r w:rsidR="00A80DFB">
        <w:t xml:space="preserve"> by Bernerth and colleagues (2007) that more directly measures the exchange occurring within the supervisor employee relationship</w:t>
      </w:r>
      <w:r w:rsidR="008D7214">
        <w:t xml:space="preserve"> (Colquitt et al., 2014)</w:t>
      </w:r>
      <w:r w:rsidR="00B03646">
        <w:t>.</w:t>
      </w:r>
      <w:r>
        <w:t xml:space="preserve"> </w:t>
      </w:r>
    </w:p>
    <w:p w14:paraId="20A09988" w14:textId="229D1813" w:rsidR="003A7E7D" w:rsidRPr="00B626E3" w:rsidRDefault="003A7E7D" w:rsidP="000C5937">
      <w:pPr>
        <w:spacing w:line="480" w:lineRule="auto"/>
        <w:jc w:val="center"/>
      </w:pPr>
      <w:r>
        <w:t>Study 1</w:t>
      </w:r>
    </w:p>
    <w:p w14:paraId="6C08EBCD" w14:textId="73C0C6E2" w:rsidR="00AA53AA" w:rsidRPr="00B626E3" w:rsidRDefault="00AA53AA" w:rsidP="00E65C5B">
      <w:pPr>
        <w:spacing w:line="480" w:lineRule="auto"/>
        <w:rPr>
          <w:i/>
        </w:rPr>
      </w:pPr>
      <w:r w:rsidRPr="00B626E3">
        <w:rPr>
          <w:i/>
        </w:rPr>
        <w:t>Sample and Procedure</w:t>
      </w:r>
    </w:p>
    <w:p w14:paraId="2D4AFD4D" w14:textId="10DAA0C0" w:rsidR="00AA53AA" w:rsidRPr="00B626E3" w:rsidRDefault="006A5704" w:rsidP="00E65C5B">
      <w:pPr>
        <w:spacing w:line="480" w:lineRule="auto"/>
        <w:ind w:firstLine="720"/>
        <w:contextualSpacing/>
        <w:rPr>
          <w:szCs w:val="24"/>
        </w:rPr>
      </w:pPr>
      <w:r w:rsidRPr="00B626E3">
        <w:rPr>
          <w:szCs w:val="24"/>
        </w:rPr>
        <w:t>We collected field data across two time periods from employees</w:t>
      </w:r>
      <w:r w:rsidR="008D4E57" w:rsidRPr="00B626E3">
        <w:rPr>
          <w:szCs w:val="24"/>
        </w:rPr>
        <w:t xml:space="preserve"> and supervisors</w:t>
      </w:r>
      <w:r w:rsidRPr="00B626E3">
        <w:rPr>
          <w:szCs w:val="24"/>
        </w:rPr>
        <w:t xml:space="preserve"> who work in a broad range of jobs and industries including: financial services, health care, sales, legal, and education. Following techniques supported by recent research (Wheeler</w:t>
      </w:r>
      <w:r w:rsidR="00EF354D">
        <w:rPr>
          <w:szCs w:val="24"/>
        </w:rPr>
        <w:t xml:space="preserve"> et al.</w:t>
      </w:r>
      <w:r w:rsidRPr="00B626E3">
        <w:rPr>
          <w:szCs w:val="24"/>
        </w:rPr>
        <w:t xml:space="preserve">, 2014) and similar to those used by other data collection efforts (e.g., Grant </w:t>
      </w:r>
      <w:r w:rsidR="00EF354D">
        <w:rPr>
          <w:szCs w:val="24"/>
        </w:rPr>
        <w:t>and</w:t>
      </w:r>
      <w:r w:rsidRPr="00B626E3">
        <w:rPr>
          <w:szCs w:val="24"/>
        </w:rPr>
        <w:t xml:space="preserve"> Mayer, 2009; Kluemper</w:t>
      </w:r>
      <w:r w:rsidR="00EF354D">
        <w:rPr>
          <w:szCs w:val="24"/>
        </w:rPr>
        <w:t xml:space="preserve"> et al.</w:t>
      </w:r>
      <w:r w:rsidRPr="00B626E3">
        <w:rPr>
          <w:szCs w:val="24"/>
        </w:rPr>
        <w:t xml:space="preserve">, 2015), </w:t>
      </w:r>
      <w:r w:rsidR="0035094B" w:rsidRPr="00B626E3">
        <w:rPr>
          <w:szCs w:val="24"/>
        </w:rPr>
        <w:t xml:space="preserve">we utilized </w:t>
      </w:r>
      <w:r w:rsidRPr="00B626E3">
        <w:rPr>
          <w:szCs w:val="24"/>
        </w:rPr>
        <w:t xml:space="preserve">students enrolled in business management courses at a large university in the southern United States. </w:t>
      </w:r>
      <w:r w:rsidR="0035094B" w:rsidRPr="00B626E3">
        <w:rPr>
          <w:szCs w:val="24"/>
        </w:rPr>
        <w:t>These s</w:t>
      </w:r>
      <w:r w:rsidR="00AA53AA" w:rsidRPr="00B626E3">
        <w:rPr>
          <w:szCs w:val="24"/>
        </w:rPr>
        <w:t xml:space="preserve">tudents provided contact information for a full-time employee (working at least 30 hours per week) to serve as the study participant. Students were given extra credit for the course as an incentive for their nomination. </w:t>
      </w:r>
      <w:r w:rsidR="00511825">
        <w:rPr>
          <w:szCs w:val="24"/>
        </w:rPr>
        <w:t>At</w:t>
      </w:r>
      <w:r w:rsidRPr="00B626E3">
        <w:rPr>
          <w:szCs w:val="24"/>
        </w:rPr>
        <w:t xml:space="preserve"> Time 1</w:t>
      </w:r>
      <w:r w:rsidR="00511825">
        <w:rPr>
          <w:szCs w:val="24"/>
        </w:rPr>
        <w:t>,</w:t>
      </w:r>
      <w:r w:rsidRPr="00B626E3">
        <w:rPr>
          <w:szCs w:val="24"/>
        </w:rPr>
        <w:t xml:space="preserve"> </w:t>
      </w:r>
      <w:r w:rsidR="008D4E57" w:rsidRPr="00B626E3">
        <w:rPr>
          <w:szCs w:val="24"/>
        </w:rPr>
        <w:t xml:space="preserve">the research team emailed the </w:t>
      </w:r>
      <w:r w:rsidRPr="00B626E3">
        <w:rPr>
          <w:szCs w:val="24"/>
        </w:rPr>
        <w:t xml:space="preserve">employees </w:t>
      </w:r>
      <w:r w:rsidR="008D4E57" w:rsidRPr="00B626E3">
        <w:rPr>
          <w:szCs w:val="24"/>
        </w:rPr>
        <w:t>directly, asking them to complete</w:t>
      </w:r>
      <w:r w:rsidRPr="00B626E3">
        <w:rPr>
          <w:szCs w:val="24"/>
        </w:rPr>
        <w:t xml:space="preserve"> a survey </w:t>
      </w:r>
      <w:r w:rsidR="00511825">
        <w:rPr>
          <w:szCs w:val="24"/>
        </w:rPr>
        <w:t>and provide</w:t>
      </w:r>
      <w:r w:rsidR="0018206E" w:rsidRPr="00B626E3">
        <w:rPr>
          <w:szCs w:val="24"/>
        </w:rPr>
        <w:t xml:space="preserve"> the contact information for their direct supervisor. </w:t>
      </w:r>
      <w:r w:rsidRPr="00B626E3">
        <w:rPr>
          <w:szCs w:val="24"/>
        </w:rPr>
        <w:t>Two weeks later</w:t>
      </w:r>
      <w:r w:rsidR="0035094B" w:rsidRPr="00B626E3">
        <w:rPr>
          <w:szCs w:val="24"/>
        </w:rPr>
        <w:t xml:space="preserve"> at </w:t>
      </w:r>
      <w:r w:rsidRPr="00B626E3">
        <w:rPr>
          <w:szCs w:val="24"/>
        </w:rPr>
        <w:t xml:space="preserve">Time 2, employees </w:t>
      </w:r>
      <w:r w:rsidR="0018206E" w:rsidRPr="00B626E3">
        <w:rPr>
          <w:szCs w:val="24"/>
        </w:rPr>
        <w:t xml:space="preserve">were sent a second survey </w:t>
      </w:r>
      <w:r w:rsidR="00511825">
        <w:rPr>
          <w:szCs w:val="24"/>
        </w:rPr>
        <w:t xml:space="preserve">while the </w:t>
      </w:r>
      <w:r w:rsidR="0018206E" w:rsidRPr="00B626E3">
        <w:rPr>
          <w:szCs w:val="24"/>
        </w:rPr>
        <w:t xml:space="preserve">direct supervisors were emailed a </w:t>
      </w:r>
      <w:r w:rsidR="00E1002E">
        <w:rPr>
          <w:szCs w:val="24"/>
        </w:rPr>
        <w:t xml:space="preserve">separate </w:t>
      </w:r>
      <w:r w:rsidR="0018206E" w:rsidRPr="00B626E3">
        <w:rPr>
          <w:szCs w:val="24"/>
        </w:rPr>
        <w:t xml:space="preserve">survey. </w:t>
      </w:r>
      <w:r w:rsidR="00471F1D" w:rsidRPr="00B626E3">
        <w:rPr>
          <w:szCs w:val="24"/>
        </w:rPr>
        <w:t>Employee</w:t>
      </w:r>
      <w:r w:rsidR="00AA53AA" w:rsidRPr="00B626E3">
        <w:rPr>
          <w:szCs w:val="24"/>
        </w:rPr>
        <w:t xml:space="preserve"> </w:t>
      </w:r>
      <w:r w:rsidR="00966A7E" w:rsidRPr="00B626E3">
        <w:rPr>
          <w:szCs w:val="24"/>
        </w:rPr>
        <w:t xml:space="preserve">and supervisor </w:t>
      </w:r>
      <w:r w:rsidR="00AA53AA" w:rsidRPr="00B626E3">
        <w:rPr>
          <w:szCs w:val="24"/>
        </w:rPr>
        <w:lastRenderedPageBreak/>
        <w:t>participants were placed into a random drawing to win one of ten $25 gift cards</w:t>
      </w:r>
      <w:r w:rsidR="00966A7E" w:rsidRPr="00B626E3">
        <w:rPr>
          <w:szCs w:val="24"/>
        </w:rPr>
        <w:t xml:space="preserve"> as an incentive for participation</w:t>
      </w:r>
      <w:r w:rsidR="00AA53AA" w:rsidRPr="00B626E3">
        <w:rPr>
          <w:szCs w:val="24"/>
        </w:rPr>
        <w:t xml:space="preserve">. </w:t>
      </w:r>
    </w:p>
    <w:p w14:paraId="30E4471E" w14:textId="3122E2B8" w:rsidR="00AA53AA" w:rsidRPr="00B626E3" w:rsidRDefault="00AA53AA" w:rsidP="00E65C5B">
      <w:pPr>
        <w:spacing w:line="480" w:lineRule="auto"/>
        <w:contextualSpacing/>
        <w:rPr>
          <w:szCs w:val="24"/>
        </w:rPr>
      </w:pPr>
      <w:r w:rsidRPr="00B626E3">
        <w:rPr>
          <w:szCs w:val="24"/>
        </w:rPr>
        <w:tab/>
        <w:t xml:space="preserve">Students provided </w:t>
      </w:r>
      <w:r w:rsidR="00966A7E" w:rsidRPr="00B626E3">
        <w:rPr>
          <w:szCs w:val="24"/>
        </w:rPr>
        <w:t xml:space="preserve">505 </w:t>
      </w:r>
      <w:r w:rsidRPr="00B626E3">
        <w:rPr>
          <w:szCs w:val="24"/>
        </w:rPr>
        <w:t>useable employee nominations</w:t>
      </w:r>
      <w:r w:rsidR="000D00EC" w:rsidRPr="00B626E3">
        <w:rPr>
          <w:szCs w:val="24"/>
        </w:rPr>
        <w:t>,</w:t>
      </w:r>
      <w:r w:rsidRPr="00B626E3">
        <w:rPr>
          <w:szCs w:val="24"/>
        </w:rPr>
        <w:t xml:space="preserve"> </w:t>
      </w:r>
      <w:r w:rsidR="000D00EC" w:rsidRPr="00B626E3">
        <w:rPr>
          <w:szCs w:val="24"/>
        </w:rPr>
        <w:t>o</w:t>
      </w:r>
      <w:r w:rsidRPr="00B626E3">
        <w:rPr>
          <w:szCs w:val="24"/>
        </w:rPr>
        <w:t xml:space="preserve">f </w:t>
      </w:r>
      <w:r w:rsidR="000D00EC" w:rsidRPr="00B626E3">
        <w:rPr>
          <w:szCs w:val="24"/>
        </w:rPr>
        <w:t xml:space="preserve">which </w:t>
      </w:r>
      <w:r w:rsidR="00B703DC" w:rsidRPr="00B626E3">
        <w:rPr>
          <w:szCs w:val="24"/>
        </w:rPr>
        <w:t xml:space="preserve">354 </w:t>
      </w:r>
      <w:r w:rsidRPr="00B626E3">
        <w:rPr>
          <w:szCs w:val="24"/>
        </w:rPr>
        <w:t xml:space="preserve">completed a </w:t>
      </w:r>
      <w:r w:rsidR="00487997" w:rsidRPr="00B626E3">
        <w:rPr>
          <w:szCs w:val="24"/>
        </w:rPr>
        <w:t xml:space="preserve">survey at Time 1. Of those </w:t>
      </w:r>
      <w:r w:rsidR="00B703DC" w:rsidRPr="00B626E3">
        <w:rPr>
          <w:szCs w:val="24"/>
        </w:rPr>
        <w:t xml:space="preserve">354 </w:t>
      </w:r>
      <w:r w:rsidR="00487997" w:rsidRPr="00B626E3">
        <w:rPr>
          <w:szCs w:val="24"/>
        </w:rPr>
        <w:t xml:space="preserve">employees, </w:t>
      </w:r>
      <w:r w:rsidR="00B703DC" w:rsidRPr="00B626E3">
        <w:rPr>
          <w:szCs w:val="24"/>
        </w:rPr>
        <w:t xml:space="preserve">284 </w:t>
      </w:r>
      <w:r w:rsidR="00487997" w:rsidRPr="00B626E3">
        <w:rPr>
          <w:szCs w:val="24"/>
        </w:rPr>
        <w:t xml:space="preserve">completed a Time 2 survey. </w:t>
      </w:r>
      <w:r w:rsidR="005D32EF" w:rsidRPr="00B626E3">
        <w:rPr>
          <w:szCs w:val="24"/>
        </w:rPr>
        <w:t xml:space="preserve">Based on information provided by </w:t>
      </w:r>
      <w:r w:rsidR="00C93A60" w:rsidRPr="00B626E3">
        <w:rPr>
          <w:szCs w:val="24"/>
        </w:rPr>
        <w:t>employee respondents at</w:t>
      </w:r>
      <w:r w:rsidR="005D32EF" w:rsidRPr="00B626E3">
        <w:rPr>
          <w:szCs w:val="24"/>
        </w:rPr>
        <w:t xml:space="preserve"> Time 1, </w:t>
      </w:r>
      <w:r w:rsidR="00B703DC" w:rsidRPr="00B626E3">
        <w:rPr>
          <w:szCs w:val="24"/>
        </w:rPr>
        <w:t xml:space="preserve">328 </w:t>
      </w:r>
      <w:r w:rsidR="005D32EF" w:rsidRPr="00B626E3">
        <w:rPr>
          <w:szCs w:val="24"/>
        </w:rPr>
        <w:t>supervisors were sent a survey at Time 2</w:t>
      </w:r>
      <w:r w:rsidR="00B703DC" w:rsidRPr="00B626E3">
        <w:rPr>
          <w:szCs w:val="24"/>
        </w:rPr>
        <w:t xml:space="preserve"> (not all employees nominated a supervisor participant)</w:t>
      </w:r>
      <w:r w:rsidR="005D32EF" w:rsidRPr="00B626E3">
        <w:rPr>
          <w:szCs w:val="24"/>
        </w:rPr>
        <w:t xml:space="preserve">, of which </w:t>
      </w:r>
      <w:r w:rsidR="00B703DC" w:rsidRPr="00B626E3">
        <w:rPr>
          <w:szCs w:val="24"/>
        </w:rPr>
        <w:t>253</w:t>
      </w:r>
      <w:r w:rsidR="00C44173" w:rsidRPr="00B626E3">
        <w:rPr>
          <w:szCs w:val="24"/>
        </w:rPr>
        <w:t xml:space="preserve"> </w:t>
      </w:r>
      <w:r w:rsidR="005D32EF" w:rsidRPr="00B626E3">
        <w:rPr>
          <w:szCs w:val="24"/>
        </w:rPr>
        <w:t xml:space="preserve">completed the survey. </w:t>
      </w:r>
      <w:r w:rsidR="00D64D20" w:rsidRPr="00B626E3">
        <w:rPr>
          <w:szCs w:val="24"/>
        </w:rPr>
        <w:t>There were 199 matched employee-supervisor dyads</w:t>
      </w:r>
      <w:r w:rsidR="00E1002E">
        <w:rPr>
          <w:szCs w:val="24"/>
        </w:rPr>
        <w:t xml:space="preserve"> that included all three surveys</w:t>
      </w:r>
      <w:r w:rsidR="00D64D20" w:rsidRPr="00B626E3">
        <w:rPr>
          <w:szCs w:val="24"/>
        </w:rPr>
        <w:t xml:space="preserve">. However, we removed </w:t>
      </w:r>
      <w:r w:rsidR="000C3C58">
        <w:rPr>
          <w:szCs w:val="24"/>
        </w:rPr>
        <w:t>ten</w:t>
      </w:r>
      <w:r w:rsidR="000C3C58" w:rsidRPr="00B626E3">
        <w:rPr>
          <w:szCs w:val="24"/>
        </w:rPr>
        <w:t xml:space="preserve"> </w:t>
      </w:r>
      <w:r w:rsidR="00D64D20" w:rsidRPr="00B626E3">
        <w:rPr>
          <w:szCs w:val="24"/>
        </w:rPr>
        <w:t xml:space="preserve">cases </w:t>
      </w:r>
      <w:r w:rsidR="00E1002E">
        <w:rPr>
          <w:szCs w:val="24"/>
        </w:rPr>
        <w:t>that</w:t>
      </w:r>
      <w:r w:rsidR="00E1002E" w:rsidRPr="00B626E3">
        <w:rPr>
          <w:szCs w:val="24"/>
        </w:rPr>
        <w:t xml:space="preserve"> </w:t>
      </w:r>
      <w:r w:rsidR="00D64D20" w:rsidRPr="00B626E3">
        <w:rPr>
          <w:szCs w:val="24"/>
        </w:rPr>
        <w:t xml:space="preserve">we detected </w:t>
      </w:r>
      <w:r w:rsidR="00E1002E">
        <w:rPr>
          <w:szCs w:val="24"/>
        </w:rPr>
        <w:t xml:space="preserve">belonged </w:t>
      </w:r>
      <w:r w:rsidR="00D64D20" w:rsidRPr="00B626E3">
        <w:rPr>
          <w:szCs w:val="24"/>
        </w:rPr>
        <w:t xml:space="preserve">to careless responders due to </w:t>
      </w:r>
      <w:r w:rsidR="00965725">
        <w:rPr>
          <w:szCs w:val="24"/>
        </w:rPr>
        <w:t xml:space="preserve">the inclusion of </w:t>
      </w:r>
      <w:r w:rsidR="00D64D20" w:rsidRPr="00B626E3">
        <w:rPr>
          <w:szCs w:val="24"/>
        </w:rPr>
        <w:t>item</w:t>
      </w:r>
      <w:r w:rsidR="00E1002E">
        <w:rPr>
          <w:szCs w:val="24"/>
        </w:rPr>
        <w:t>s</w:t>
      </w:r>
      <w:r w:rsidR="00D64D20" w:rsidRPr="00B626E3">
        <w:rPr>
          <w:szCs w:val="24"/>
        </w:rPr>
        <w:t xml:space="preserve"> </w:t>
      </w:r>
      <w:r w:rsidR="000C3C58">
        <w:rPr>
          <w:szCs w:val="24"/>
        </w:rPr>
        <w:t xml:space="preserve">in our surveys that identify inattentive participants </w:t>
      </w:r>
      <w:r w:rsidR="00E1002E">
        <w:rPr>
          <w:szCs w:val="24"/>
        </w:rPr>
        <w:t xml:space="preserve">as outlined by </w:t>
      </w:r>
      <w:r w:rsidR="00D64D20" w:rsidRPr="00B626E3">
        <w:rPr>
          <w:szCs w:val="24"/>
        </w:rPr>
        <w:t xml:space="preserve">Meade </w:t>
      </w:r>
      <w:r w:rsidR="00E1002E">
        <w:rPr>
          <w:szCs w:val="24"/>
        </w:rPr>
        <w:t>and</w:t>
      </w:r>
      <w:r w:rsidR="00D64D20" w:rsidRPr="00B626E3">
        <w:rPr>
          <w:szCs w:val="24"/>
        </w:rPr>
        <w:t xml:space="preserve"> Craig</w:t>
      </w:r>
      <w:r w:rsidR="00965725">
        <w:rPr>
          <w:szCs w:val="24"/>
        </w:rPr>
        <w:t xml:space="preserve"> </w:t>
      </w:r>
      <w:r w:rsidR="00E1002E">
        <w:rPr>
          <w:szCs w:val="24"/>
        </w:rPr>
        <w:t>(</w:t>
      </w:r>
      <w:r w:rsidR="00D64D20" w:rsidRPr="00B626E3">
        <w:rPr>
          <w:szCs w:val="24"/>
        </w:rPr>
        <w:t xml:space="preserve">2012). </w:t>
      </w:r>
      <w:r w:rsidR="001C4173" w:rsidRPr="00B626E3">
        <w:rPr>
          <w:szCs w:val="24"/>
        </w:rPr>
        <w:t>Thus, our final sample consisted of 189 matched employee-supervisor dyads across Times 1 and 2</w:t>
      </w:r>
      <w:r w:rsidRPr="00B626E3">
        <w:rPr>
          <w:szCs w:val="24"/>
        </w:rPr>
        <w:t xml:space="preserve">. </w:t>
      </w:r>
    </w:p>
    <w:p w14:paraId="79F645E5" w14:textId="0F8EC3D7" w:rsidR="00C93A60" w:rsidRPr="00B626E3" w:rsidRDefault="00AA53AA" w:rsidP="00E65C5B">
      <w:pPr>
        <w:spacing w:line="480" w:lineRule="auto"/>
        <w:ind w:firstLine="720"/>
      </w:pPr>
      <w:r w:rsidRPr="00B626E3">
        <w:rPr>
          <w:szCs w:val="24"/>
        </w:rPr>
        <w:t xml:space="preserve">Of the </w:t>
      </w:r>
      <w:r w:rsidR="001C4173" w:rsidRPr="00B626E3">
        <w:rPr>
          <w:szCs w:val="24"/>
        </w:rPr>
        <w:t>18</w:t>
      </w:r>
      <w:r w:rsidR="00B703DC" w:rsidRPr="00B626E3">
        <w:rPr>
          <w:szCs w:val="24"/>
        </w:rPr>
        <w:t xml:space="preserve">9 </w:t>
      </w:r>
      <w:r w:rsidR="00487997" w:rsidRPr="00B626E3">
        <w:rPr>
          <w:szCs w:val="24"/>
        </w:rPr>
        <w:t>employees</w:t>
      </w:r>
      <w:r w:rsidRPr="00B626E3">
        <w:rPr>
          <w:szCs w:val="24"/>
        </w:rPr>
        <w:t xml:space="preserve"> in our </w:t>
      </w:r>
      <w:r w:rsidR="00B703DC" w:rsidRPr="00B626E3">
        <w:rPr>
          <w:szCs w:val="24"/>
        </w:rPr>
        <w:t xml:space="preserve">final </w:t>
      </w:r>
      <w:r w:rsidRPr="00B626E3">
        <w:rPr>
          <w:szCs w:val="24"/>
        </w:rPr>
        <w:t xml:space="preserve">sample, </w:t>
      </w:r>
      <w:r w:rsidR="00BA24AF" w:rsidRPr="00B626E3">
        <w:rPr>
          <w:szCs w:val="24"/>
        </w:rPr>
        <w:t>67.2</w:t>
      </w:r>
      <w:r w:rsidRPr="00B626E3">
        <w:rPr>
          <w:szCs w:val="24"/>
        </w:rPr>
        <w:t xml:space="preserve">% were female and </w:t>
      </w:r>
      <w:r w:rsidR="00BA24AF" w:rsidRPr="00B626E3">
        <w:rPr>
          <w:szCs w:val="24"/>
        </w:rPr>
        <w:t>86.2</w:t>
      </w:r>
      <w:r w:rsidRPr="00B626E3">
        <w:rPr>
          <w:szCs w:val="24"/>
        </w:rPr>
        <w:t xml:space="preserve">% </w:t>
      </w:r>
      <w:r w:rsidR="00AC1286">
        <w:rPr>
          <w:szCs w:val="24"/>
        </w:rPr>
        <w:t>worked</w:t>
      </w:r>
      <w:r w:rsidRPr="00B626E3">
        <w:rPr>
          <w:szCs w:val="24"/>
        </w:rPr>
        <w:t xml:space="preserve"> </w:t>
      </w:r>
      <w:r w:rsidR="00EA5D5C" w:rsidRPr="00B626E3">
        <w:rPr>
          <w:szCs w:val="24"/>
        </w:rPr>
        <w:t>full-time (</w:t>
      </w:r>
      <w:r w:rsidRPr="00B626E3">
        <w:rPr>
          <w:szCs w:val="24"/>
        </w:rPr>
        <w:t>more than 30 hours per week</w:t>
      </w:r>
      <w:r w:rsidR="00EA5D5C" w:rsidRPr="00B626E3">
        <w:rPr>
          <w:szCs w:val="24"/>
        </w:rPr>
        <w:t>)</w:t>
      </w:r>
      <w:r w:rsidRPr="00B626E3">
        <w:rPr>
          <w:szCs w:val="24"/>
        </w:rPr>
        <w:t xml:space="preserve">. </w:t>
      </w:r>
      <w:r w:rsidR="00487997" w:rsidRPr="00B626E3">
        <w:rPr>
          <w:szCs w:val="24"/>
        </w:rPr>
        <w:t xml:space="preserve">Among </w:t>
      </w:r>
      <w:r w:rsidR="000B45AE" w:rsidRPr="00B626E3">
        <w:rPr>
          <w:szCs w:val="24"/>
        </w:rPr>
        <w:t>these employees</w:t>
      </w:r>
      <w:r w:rsidR="00487997" w:rsidRPr="00B626E3">
        <w:rPr>
          <w:szCs w:val="24"/>
        </w:rPr>
        <w:t>,</w:t>
      </w:r>
      <w:r w:rsidRPr="00B626E3">
        <w:rPr>
          <w:szCs w:val="24"/>
        </w:rPr>
        <w:t xml:space="preserve"> </w:t>
      </w:r>
      <w:r w:rsidR="00BA24AF" w:rsidRPr="00B626E3">
        <w:rPr>
          <w:szCs w:val="24"/>
        </w:rPr>
        <w:t>81</w:t>
      </w:r>
      <w:r w:rsidRPr="00B626E3">
        <w:rPr>
          <w:szCs w:val="24"/>
        </w:rPr>
        <w:t>% were Caucasian,</w:t>
      </w:r>
      <w:r w:rsidR="00BA24AF" w:rsidRPr="00B626E3">
        <w:rPr>
          <w:szCs w:val="24"/>
        </w:rPr>
        <w:t xml:space="preserve"> 11.6% African American, 1.6</w:t>
      </w:r>
      <w:r w:rsidRPr="00B626E3">
        <w:rPr>
          <w:szCs w:val="24"/>
        </w:rPr>
        <w:t xml:space="preserve">% Hispanic, </w:t>
      </w:r>
      <w:r w:rsidR="00BA24AF" w:rsidRPr="00B626E3">
        <w:rPr>
          <w:szCs w:val="24"/>
        </w:rPr>
        <w:t>4.2</w:t>
      </w:r>
      <w:r w:rsidR="00EA5D5C" w:rsidRPr="00B626E3">
        <w:rPr>
          <w:szCs w:val="24"/>
        </w:rPr>
        <w:t>% Asian, 0.5</w:t>
      </w:r>
      <w:r w:rsidRPr="00B626E3">
        <w:rPr>
          <w:szCs w:val="24"/>
        </w:rPr>
        <w:t>% Arabic</w:t>
      </w:r>
      <w:r w:rsidR="00BA24AF" w:rsidRPr="00B626E3">
        <w:rPr>
          <w:szCs w:val="24"/>
        </w:rPr>
        <w:t>, and 1.1</w:t>
      </w:r>
      <w:r w:rsidR="00EA5D5C" w:rsidRPr="00B626E3">
        <w:rPr>
          <w:szCs w:val="24"/>
        </w:rPr>
        <w:t>% selected “other</w:t>
      </w:r>
      <w:r w:rsidRPr="00B626E3">
        <w:rPr>
          <w:szCs w:val="24"/>
        </w:rPr>
        <w:t>.</w:t>
      </w:r>
      <w:r w:rsidR="00EA5D5C" w:rsidRPr="00B626E3">
        <w:rPr>
          <w:szCs w:val="24"/>
        </w:rPr>
        <w:t>”</w:t>
      </w:r>
      <w:r w:rsidRPr="00B626E3">
        <w:rPr>
          <w:szCs w:val="24"/>
        </w:rPr>
        <w:t xml:space="preserve"> The employees’ average age was </w:t>
      </w:r>
      <w:r w:rsidR="00BA24AF" w:rsidRPr="00B626E3">
        <w:rPr>
          <w:szCs w:val="24"/>
        </w:rPr>
        <w:t>42.35</w:t>
      </w:r>
      <w:r w:rsidRPr="00B626E3">
        <w:rPr>
          <w:szCs w:val="24"/>
        </w:rPr>
        <w:t xml:space="preserve"> years (</w:t>
      </w:r>
      <w:r w:rsidRPr="00B626E3">
        <w:rPr>
          <w:i/>
          <w:szCs w:val="24"/>
        </w:rPr>
        <w:t>SD</w:t>
      </w:r>
      <w:r w:rsidRPr="00B626E3">
        <w:rPr>
          <w:szCs w:val="24"/>
        </w:rPr>
        <w:t xml:space="preserve"> = </w:t>
      </w:r>
      <w:r w:rsidR="00EA5D5C" w:rsidRPr="00B626E3">
        <w:rPr>
          <w:szCs w:val="24"/>
        </w:rPr>
        <w:t>13.4</w:t>
      </w:r>
      <w:r w:rsidR="00BA24AF" w:rsidRPr="00B626E3">
        <w:rPr>
          <w:szCs w:val="24"/>
        </w:rPr>
        <w:t>7</w:t>
      </w:r>
      <w:r w:rsidR="004778CC" w:rsidRPr="00B626E3">
        <w:rPr>
          <w:szCs w:val="24"/>
        </w:rPr>
        <w:t xml:space="preserve">) and their average </w:t>
      </w:r>
      <w:r w:rsidRPr="00B626E3">
        <w:rPr>
          <w:szCs w:val="24"/>
        </w:rPr>
        <w:t>organizational tenure was 9.</w:t>
      </w:r>
      <w:r w:rsidR="00BA24AF" w:rsidRPr="00B626E3">
        <w:rPr>
          <w:szCs w:val="24"/>
        </w:rPr>
        <w:t>39</w:t>
      </w:r>
      <w:r w:rsidRPr="00B626E3">
        <w:rPr>
          <w:szCs w:val="24"/>
        </w:rPr>
        <w:t xml:space="preserve"> years (</w:t>
      </w:r>
      <w:r w:rsidRPr="00B626E3">
        <w:rPr>
          <w:i/>
          <w:szCs w:val="24"/>
        </w:rPr>
        <w:t>SD</w:t>
      </w:r>
      <w:r w:rsidRPr="00B626E3">
        <w:rPr>
          <w:szCs w:val="24"/>
        </w:rPr>
        <w:t xml:space="preserve"> = </w:t>
      </w:r>
      <w:r w:rsidR="00BA24AF" w:rsidRPr="00B626E3">
        <w:rPr>
          <w:szCs w:val="24"/>
        </w:rPr>
        <w:t>9.20</w:t>
      </w:r>
      <w:r w:rsidRPr="00B626E3">
        <w:rPr>
          <w:szCs w:val="24"/>
        </w:rPr>
        <w:t>).</w:t>
      </w:r>
      <w:r w:rsidR="00EA5D5C" w:rsidRPr="00B626E3">
        <w:rPr>
          <w:szCs w:val="24"/>
        </w:rPr>
        <w:t xml:space="preserve"> Employees reported having worked an</w:t>
      </w:r>
      <w:r w:rsidR="00BA24AF" w:rsidRPr="00B626E3">
        <w:rPr>
          <w:szCs w:val="24"/>
        </w:rPr>
        <w:t xml:space="preserve"> average of 6.50</w:t>
      </w:r>
      <w:r w:rsidR="00EA5D5C" w:rsidRPr="00B626E3">
        <w:rPr>
          <w:szCs w:val="24"/>
        </w:rPr>
        <w:t xml:space="preserve"> years (</w:t>
      </w:r>
      <w:r w:rsidR="00EA5D5C" w:rsidRPr="00B626E3">
        <w:rPr>
          <w:i/>
          <w:szCs w:val="24"/>
        </w:rPr>
        <w:t>SD</w:t>
      </w:r>
      <w:r w:rsidR="00EA5D5C" w:rsidRPr="00B626E3">
        <w:rPr>
          <w:szCs w:val="24"/>
        </w:rPr>
        <w:t xml:space="preserve"> = 6.7</w:t>
      </w:r>
      <w:r w:rsidR="00BA24AF" w:rsidRPr="00B626E3">
        <w:rPr>
          <w:szCs w:val="24"/>
        </w:rPr>
        <w:t>9</w:t>
      </w:r>
      <w:r w:rsidR="00EA5D5C" w:rsidRPr="00B626E3">
        <w:rPr>
          <w:szCs w:val="24"/>
        </w:rPr>
        <w:t>) with the direct supervisor who also participated in this study.</w:t>
      </w:r>
      <w:r w:rsidR="00D52823">
        <w:rPr>
          <w:szCs w:val="24"/>
        </w:rPr>
        <w:t xml:space="preserve"> </w:t>
      </w:r>
      <w:r w:rsidR="00C93A60" w:rsidRPr="00B626E3">
        <w:rPr>
          <w:szCs w:val="24"/>
        </w:rPr>
        <w:t xml:space="preserve">Of the </w:t>
      </w:r>
      <w:r w:rsidR="001C4173" w:rsidRPr="00B626E3">
        <w:rPr>
          <w:szCs w:val="24"/>
        </w:rPr>
        <w:t>18</w:t>
      </w:r>
      <w:r w:rsidR="00B703DC" w:rsidRPr="00B626E3">
        <w:rPr>
          <w:szCs w:val="24"/>
        </w:rPr>
        <w:t xml:space="preserve">9 </w:t>
      </w:r>
      <w:r w:rsidR="00C93A60" w:rsidRPr="00B626E3">
        <w:rPr>
          <w:szCs w:val="24"/>
        </w:rPr>
        <w:t xml:space="preserve">supervisor respondents, </w:t>
      </w:r>
      <w:r w:rsidR="00BA24AF" w:rsidRPr="00B626E3">
        <w:rPr>
          <w:szCs w:val="24"/>
        </w:rPr>
        <w:t>55</w:t>
      </w:r>
      <w:r w:rsidR="00C93A60" w:rsidRPr="00B626E3">
        <w:rPr>
          <w:szCs w:val="24"/>
        </w:rPr>
        <w:t xml:space="preserve">% were male, while </w:t>
      </w:r>
      <w:r w:rsidR="00BA24AF" w:rsidRPr="00B626E3">
        <w:rPr>
          <w:szCs w:val="24"/>
        </w:rPr>
        <w:t>82.5</w:t>
      </w:r>
      <w:r w:rsidR="00C93A60" w:rsidRPr="00B626E3">
        <w:rPr>
          <w:szCs w:val="24"/>
        </w:rPr>
        <w:t xml:space="preserve">% were Caucasian, </w:t>
      </w:r>
      <w:r w:rsidR="00BA24AF" w:rsidRPr="00B626E3">
        <w:rPr>
          <w:szCs w:val="24"/>
        </w:rPr>
        <w:t>12.7</w:t>
      </w:r>
      <w:r w:rsidR="00C93A60" w:rsidRPr="00B626E3">
        <w:rPr>
          <w:szCs w:val="24"/>
        </w:rPr>
        <w:t xml:space="preserve">% African American, </w:t>
      </w:r>
      <w:r w:rsidR="00BA24AF" w:rsidRPr="00B626E3">
        <w:rPr>
          <w:szCs w:val="24"/>
        </w:rPr>
        <w:t>2.6</w:t>
      </w:r>
      <w:r w:rsidR="00C93A60" w:rsidRPr="00B626E3">
        <w:rPr>
          <w:szCs w:val="24"/>
        </w:rPr>
        <w:t xml:space="preserve">% Asian, </w:t>
      </w:r>
      <w:r w:rsidR="00EA5D5C" w:rsidRPr="00B626E3">
        <w:rPr>
          <w:szCs w:val="24"/>
        </w:rPr>
        <w:t>0</w:t>
      </w:r>
      <w:r w:rsidR="00C93A60" w:rsidRPr="00B626E3">
        <w:rPr>
          <w:szCs w:val="24"/>
        </w:rPr>
        <w:t xml:space="preserve">.5% </w:t>
      </w:r>
      <w:r w:rsidR="00EA5D5C" w:rsidRPr="00B626E3">
        <w:rPr>
          <w:szCs w:val="24"/>
        </w:rPr>
        <w:t>Arabic</w:t>
      </w:r>
      <w:r w:rsidR="00C93A60" w:rsidRPr="00B626E3">
        <w:rPr>
          <w:szCs w:val="24"/>
        </w:rPr>
        <w:t xml:space="preserve">, and </w:t>
      </w:r>
      <w:r w:rsidR="00BA24AF" w:rsidRPr="00B626E3">
        <w:rPr>
          <w:szCs w:val="24"/>
        </w:rPr>
        <w:t>1.6</w:t>
      </w:r>
      <w:r w:rsidR="00C93A60" w:rsidRPr="00B626E3">
        <w:rPr>
          <w:szCs w:val="24"/>
        </w:rPr>
        <w:t>% selected “other</w:t>
      </w:r>
      <w:r w:rsidR="00EA5D5C" w:rsidRPr="00B626E3">
        <w:rPr>
          <w:szCs w:val="24"/>
        </w:rPr>
        <w:t>.</w:t>
      </w:r>
      <w:r w:rsidR="00C93A60" w:rsidRPr="00B626E3">
        <w:rPr>
          <w:szCs w:val="24"/>
        </w:rPr>
        <w:t xml:space="preserve">” </w:t>
      </w:r>
      <w:r w:rsidR="003A17B6" w:rsidRPr="00B626E3">
        <w:rPr>
          <w:szCs w:val="24"/>
        </w:rPr>
        <w:t>T</w:t>
      </w:r>
      <w:r w:rsidR="00EA5D5C" w:rsidRPr="00B626E3">
        <w:rPr>
          <w:szCs w:val="24"/>
        </w:rPr>
        <w:t xml:space="preserve">he </w:t>
      </w:r>
      <w:r w:rsidR="00AC1286">
        <w:rPr>
          <w:szCs w:val="24"/>
        </w:rPr>
        <w:t xml:space="preserve">supervisors’ </w:t>
      </w:r>
      <w:r w:rsidR="00EA5D5C" w:rsidRPr="00B626E3">
        <w:rPr>
          <w:szCs w:val="24"/>
        </w:rPr>
        <w:t>average age was</w:t>
      </w:r>
      <w:r w:rsidR="00C93A60" w:rsidRPr="00B626E3">
        <w:rPr>
          <w:szCs w:val="24"/>
        </w:rPr>
        <w:t xml:space="preserve"> </w:t>
      </w:r>
      <w:r w:rsidR="00BA24AF" w:rsidRPr="00B626E3">
        <w:rPr>
          <w:szCs w:val="24"/>
        </w:rPr>
        <w:t>50.03</w:t>
      </w:r>
      <w:r w:rsidR="00C93A60" w:rsidRPr="00B626E3">
        <w:rPr>
          <w:szCs w:val="24"/>
        </w:rPr>
        <w:t xml:space="preserve"> years (</w:t>
      </w:r>
      <w:r w:rsidR="00C93A60" w:rsidRPr="00B626E3">
        <w:rPr>
          <w:i/>
          <w:szCs w:val="24"/>
        </w:rPr>
        <w:t>SD</w:t>
      </w:r>
      <w:r w:rsidR="00C93A60" w:rsidRPr="00B626E3">
        <w:rPr>
          <w:szCs w:val="24"/>
        </w:rPr>
        <w:t xml:space="preserve"> = </w:t>
      </w:r>
      <w:r w:rsidR="00EA5D5C" w:rsidRPr="00B626E3">
        <w:rPr>
          <w:szCs w:val="24"/>
        </w:rPr>
        <w:t>11.</w:t>
      </w:r>
      <w:r w:rsidR="00BA24AF" w:rsidRPr="00B626E3">
        <w:rPr>
          <w:szCs w:val="24"/>
        </w:rPr>
        <w:t>12</w:t>
      </w:r>
      <w:r w:rsidR="00C93A60" w:rsidRPr="00B626E3">
        <w:rPr>
          <w:szCs w:val="24"/>
        </w:rPr>
        <w:t>)</w:t>
      </w:r>
      <w:r w:rsidR="00AC1286">
        <w:rPr>
          <w:szCs w:val="24"/>
        </w:rPr>
        <w:t xml:space="preserve"> </w:t>
      </w:r>
      <w:r w:rsidR="003A17B6" w:rsidRPr="00B626E3">
        <w:rPr>
          <w:szCs w:val="24"/>
        </w:rPr>
        <w:t xml:space="preserve">and </w:t>
      </w:r>
      <w:r w:rsidR="00AC1286">
        <w:rPr>
          <w:szCs w:val="24"/>
        </w:rPr>
        <w:t>their</w:t>
      </w:r>
      <w:r w:rsidR="00C93A60" w:rsidRPr="00B626E3">
        <w:rPr>
          <w:szCs w:val="24"/>
        </w:rPr>
        <w:t xml:space="preserve"> average organizational tenure </w:t>
      </w:r>
      <w:r w:rsidR="00AC1286">
        <w:rPr>
          <w:szCs w:val="24"/>
        </w:rPr>
        <w:t>was</w:t>
      </w:r>
      <w:r w:rsidR="00C93A60" w:rsidRPr="00B626E3">
        <w:rPr>
          <w:szCs w:val="24"/>
        </w:rPr>
        <w:t xml:space="preserve"> </w:t>
      </w:r>
      <w:r w:rsidR="00BA24AF" w:rsidRPr="00B626E3">
        <w:rPr>
          <w:szCs w:val="24"/>
        </w:rPr>
        <w:t>13.85</w:t>
      </w:r>
      <w:r w:rsidR="00C93A60" w:rsidRPr="00B626E3">
        <w:rPr>
          <w:szCs w:val="24"/>
        </w:rPr>
        <w:t xml:space="preserve"> years (</w:t>
      </w:r>
      <w:r w:rsidR="00C93A60" w:rsidRPr="00B626E3">
        <w:rPr>
          <w:i/>
          <w:szCs w:val="24"/>
        </w:rPr>
        <w:t>SD</w:t>
      </w:r>
      <w:r w:rsidR="00C93A60" w:rsidRPr="00B626E3">
        <w:rPr>
          <w:szCs w:val="24"/>
        </w:rPr>
        <w:t xml:space="preserve"> = </w:t>
      </w:r>
      <w:r w:rsidR="00EA5D5C" w:rsidRPr="00B626E3">
        <w:rPr>
          <w:szCs w:val="24"/>
        </w:rPr>
        <w:t>11.1</w:t>
      </w:r>
      <w:r w:rsidR="00BA24AF" w:rsidRPr="00B626E3">
        <w:rPr>
          <w:szCs w:val="24"/>
        </w:rPr>
        <w:t>6</w:t>
      </w:r>
      <w:r w:rsidR="00C93A60" w:rsidRPr="00B626E3">
        <w:rPr>
          <w:szCs w:val="24"/>
        </w:rPr>
        <w:t>).</w:t>
      </w:r>
      <w:r w:rsidR="00C93A60" w:rsidRPr="00B626E3">
        <w:t xml:space="preserve"> </w:t>
      </w:r>
    </w:p>
    <w:p w14:paraId="0CB70141" w14:textId="4B312FAA" w:rsidR="008D4E57" w:rsidRPr="00B626E3" w:rsidRDefault="008D4E57" w:rsidP="00E65C5B">
      <w:pPr>
        <w:spacing w:line="480" w:lineRule="auto"/>
        <w:rPr>
          <w:i/>
          <w:szCs w:val="24"/>
        </w:rPr>
      </w:pPr>
      <w:r w:rsidRPr="00B626E3">
        <w:rPr>
          <w:i/>
        </w:rPr>
        <w:t>Measures</w:t>
      </w:r>
    </w:p>
    <w:p w14:paraId="12B964E8" w14:textId="4FA97718" w:rsidR="00741E9D" w:rsidRPr="00B626E3" w:rsidRDefault="008D4E57" w:rsidP="00E65C5B">
      <w:pPr>
        <w:spacing w:line="480" w:lineRule="auto"/>
        <w:ind w:firstLine="720"/>
      </w:pPr>
      <w:r w:rsidRPr="00B626E3">
        <w:rPr>
          <w:szCs w:val="24"/>
        </w:rPr>
        <w:t>The focal employee survey</w:t>
      </w:r>
      <w:r w:rsidR="00741E9D" w:rsidRPr="00B626E3">
        <w:rPr>
          <w:szCs w:val="24"/>
        </w:rPr>
        <w:t>s</w:t>
      </w:r>
      <w:r w:rsidRPr="00B626E3">
        <w:rPr>
          <w:szCs w:val="24"/>
        </w:rPr>
        <w:t xml:space="preserve"> consisted of measures of supervisor BLM, employee BLM,</w:t>
      </w:r>
      <w:r w:rsidR="003D1556" w:rsidRPr="00B626E3">
        <w:rPr>
          <w:szCs w:val="24"/>
        </w:rPr>
        <w:t xml:space="preserve"> and demographic variables at Time 1 and employee perceptions of LMX with the supervisor at Time 2. Supervisor surveys (only at Time 2) contained measures of e</w:t>
      </w:r>
      <w:r w:rsidR="00741E9D" w:rsidRPr="00B626E3">
        <w:rPr>
          <w:szCs w:val="24"/>
        </w:rPr>
        <w:t xml:space="preserve">mployees’ task performance </w:t>
      </w:r>
      <w:r w:rsidR="003D1556" w:rsidRPr="00B626E3">
        <w:rPr>
          <w:szCs w:val="24"/>
        </w:rPr>
        <w:lastRenderedPageBreak/>
        <w:t xml:space="preserve">and </w:t>
      </w:r>
      <w:r w:rsidR="000C3C58">
        <w:rPr>
          <w:szCs w:val="24"/>
        </w:rPr>
        <w:t xml:space="preserve">supervisor </w:t>
      </w:r>
      <w:r w:rsidR="003D1556" w:rsidRPr="00B626E3">
        <w:rPr>
          <w:szCs w:val="24"/>
        </w:rPr>
        <w:t>demographics. A</w:t>
      </w:r>
      <w:r w:rsidRPr="00B626E3">
        <w:t>ll items in this study were measured using a seven-point Likert-type scale</w:t>
      </w:r>
      <w:r w:rsidR="003D1556" w:rsidRPr="00B626E3">
        <w:t>. Unless noted, the scale anchors were 1 for</w:t>
      </w:r>
      <w:r w:rsidRPr="00B626E3">
        <w:t xml:space="preserve"> </w:t>
      </w:r>
      <w:r w:rsidRPr="00B626E3">
        <w:rPr>
          <w:i/>
        </w:rPr>
        <w:t>strongly disagree</w:t>
      </w:r>
      <w:r w:rsidR="003D1556" w:rsidRPr="00B626E3">
        <w:t xml:space="preserve"> to 7 for</w:t>
      </w:r>
      <w:r w:rsidRPr="00B626E3">
        <w:t xml:space="preserve"> </w:t>
      </w:r>
      <w:r w:rsidRPr="00B626E3">
        <w:rPr>
          <w:i/>
        </w:rPr>
        <w:t>strongly agree</w:t>
      </w:r>
      <w:r w:rsidRPr="00B626E3">
        <w:t xml:space="preserve">. </w:t>
      </w:r>
    </w:p>
    <w:p w14:paraId="29977D8B" w14:textId="730237E5" w:rsidR="000B5B12" w:rsidRPr="00B626E3" w:rsidRDefault="000B5B12" w:rsidP="00E65C5B">
      <w:pPr>
        <w:spacing w:line="480" w:lineRule="auto"/>
        <w:ind w:firstLine="720"/>
      </w:pPr>
      <w:r w:rsidRPr="00B626E3">
        <w:rPr>
          <w:i/>
        </w:rPr>
        <w:t>Supervisor bottom-line mentality.</w:t>
      </w:r>
      <w:r w:rsidRPr="00B626E3">
        <w:t xml:space="preserve"> Supervisor BLM (</w:t>
      </w:r>
      <w:r w:rsidRPr="00B626E3">
        <w:rPr>
          <w:i/>
        </w:rPr>
        <w:t>α</w:t>
      </w:r>
      <w:r w:rsidRPr="00B626E3">
        <w:t xml:space="preserve"> = .91) was measured using a four-item scale created and validated by Greenbaum and colleagues (2012). Respondents were asked to “think about their supervisor in regard to business dealings” and to “indicate the extent to which they agreed…regarding their supervisor’s thinking when working within their organization”. Sample items include, “treats the bottom line as more important than anything else” and “cares more about profits than employee well-being.”</w:t>
      </w:r>
    </w:p>
    <w:p w14:paraId="053A756F" w14:textId="1F278816" w:rsidR="000B5B12" w:rsidRPr="00B626E3" w:rsidRDefault="000B5B12" w:rsidP="00E65C5B">
      <w:pPr>
        <w:spacing w:line="480" w:lineRule="auto"/>
        <w:ind w:firstLine="720"/>
      </w:pPr>
      <w:r w:rsidRPr="00B626E3">
        <w:rPr>
          <w:i/>
        </w:rPr>
        <w:t xml:space="preserve">Employee </w:t>
      </w:r>
      <w:r w:rsidR="0029010F" w:rsidRPr="00B626E3">
        <w:rPr>
          <w:i/>
        </w:rPr>
        <w:t>bottom-line mentality</w:t>
      </w:r>
      <w:r w:rsidRPr="00B626E3">
        <w:rPr>
          <w:i/>
        </w:rPr>
        <w:t>.</w:t>
      </w:r>
      <w:r w:rsidRPr="00B626E3">
        <w:t xml:space="preserve"> Employee BLM (</w:t>
      </w:r>
      <w:r w:rsidRPr="00B626E3">
        <w:rPr>
          <w:i/>
        </w:rPr>
        <w:t>α</w:t>
      </w:r>
      <w:r w:rsidRPr="00B626E3">
        <w:t xml:space="preserve"> = .7</w:t>
      </w:r>
      <w:r w:rsidR="008D04D1" w:rsidRPr="00B626E3">
        <w:t>7</w:t>
      </w:r>
      <w:r w:rsidRPr="00B626E3">
        <w:t xml:space="preserve">) was measured using the same four-item scale developed by Greenbaum and colleagues (2012). However, for this measure respondents </w:t>
      </w:r>
      <w:r w:rsidR="00B626E3" w:rsidRPr="00B626E3">
        <w:t>assessed</w:t>
      </w:r>
      <w:r w:rsidRPr="00B626E3">
        <w:t xml:space="preserve"> their own level of BLM. Sample items include, “I treat the bottom line as more important than anything else” and “I care more about profits than employee well-being.”</w:t>
      </w:r>
    </w:p>
    <w:p w14:paraId="33B815FD" w14:textId="7B2482EC" w:rsidR="000B5B12" w:rsidRPr="00127C8A" w:rsidRDefault="00E115FE" w:rsidP="00E65C5B">
      <w:pPr>
        <w:spacing w:line="480" w:lineRule="auto"/>
        <w:ind w:firstLine="720"/>
        <w:rPr>
          <w:szCs w:val="24"/>
        </w:rPr>
      </w:pPr>
      <w:r w:rsidRPr="00127C8A">
        <w:rPr>
          <w:i/>
          <w:szCs w:val="24"/>
        </w:rPr>
        <w:t>LMX</w:t>
      </w:r>
      <w:r w:rsidR="000B5B12" w:rsidRPr="00127C8A">
        <w:rPr>
          <w:i/>
          <w:szCs w:val="24"/>
        </w:rPr>
        <w:t>.</w:t>
      </w:r>
      <w:r w:rsidR="000B5B12" w:rsidRPr="00127C8A">
        <w:rPr>
          <w:szCs w:val="24"/>
        </w:rPr>
        <w:t xml:space="preserve"> Employees rated their </w:t>
      </w:r>
      <w:r w:rsidR="00127C8A" w:rsidRPr="00127C8A">
        <w:rPr>
          <w:szCs w:val="24"/>
        </w:rPr>
        <w:t>perceptions of the LMX</w:t>
      </w:r>
      <w:r w:rsidR="008D41A4" w:rsidRPr="00127C8A">
        <w:rPr>
          <w:szCs w:val="24"/>
        </w:rPr>
        <w:t xml:space="preserve"> </w:t>
      </w:r>
      <w:r w:rsidR="000B5B12" w:rsidRPr="00127C8A">
        <w:rPr>
          <w:szCs w:val="24"/>
        </w:rPr>
        <w:t xml:space="preserve">relationship with their supervisor using </w:t>
      </w:r>
      <w:r w:rsidR="00127C8A" w:rsidRPr="00127C8A">
        <w:rPr>
          <w:szCs w:val="24"/>
        </w:rPr>
        <w:t xml:space="preserve">the </w:t>
      </w:r>
      <w:r w:rsidR="00511825">
        <w:rPr>
          <w:szCs w:val="24"/>
        </w:rPr>
        <w:t>twelve</w:t>
      </w:r>
      <w:r w:rsidR="00127C8A" w:rsidRPr="00127C8A">
        <w:rPr>
          <w:szCs w:val="24"/>
        </w:rPr>
        <w:t>-item scale</w:t>
      </w:r>
      <w:r w:rsidR="000B5B12" w:rsidRPr="00127C8A">
        <w:rPr>
          <w:szCs w:val="24"/>
        </w:rPr>
        <w:t xml:space="preserve"> from Liden and Maslyn</w:t>
      </w:r>
      <w:r w:rsidR="00127C8A" w:rsidRPr="00127C8A">
        <w:rPr>
          <w:szCs w:val="24"/>
        </w:rPr>
        <w:t xml:space="preserve"> (1998)</w:t>
      </w:r>
      <w:r w:rsidR="000B5B12" w:rsidRPr="00127C8A">
        <w:rPr>
          <w:szCs w:val="24"/>
        </w:rPr>
        <w:t xml:space="preserve"> (</w:t>
      </w:r>
      <w:r w:rsidR="000B5B12" w:rsidRPr="00127C8A">
        <w:rPr>
          <w:i/>
          <w:szCs w:val="24"/>
        </w:rPr>
        <w:t>α</w:t>
      </w:r>
      <w:r w:rsidR="0029010F" w:rsidRPr="00127C8A">
        <w:rPr>
          <w:szCs w:val="24"/>
        </w:rPr>
        <w:t xml:space="preserve"> = .94). </w:t>
      </w:r>
      <w:r w:rsidR="00D9664B">
        <w:rPr>
          <w:szCs w:val="24"/>
        </w:rPr>
        <w:t>S</w:t>
      </w:r>
      <w:r w:rsidR="00127C8A" w:rsidRPr="00127C8A">
        <w:rPr>
          <w:szCs w:val="24"/>
        </w:rPr>
        <w:t>ample item</w:t>
      </w:r>
      <w:r w:rsidR="00D9664B">
        <w:rPr>
          <w:szCs w:val="24"/>
        </w:rPr>
        <w:t>s</w:t>
      </w:r>
      <w:r w:rsidR="00127C8A" w:rsidRPr="00127C8A">
        <w:rPr>
          <w:szCs w:val="24"/>
        </w:rPr>
        <w:t xml:space="preserve"> </w:t>
      </w:r>
      <w:r w:rsidR="003D4EDB">
        <w:rPr>
          <w:szCs w:val="24"/>
        </w:rPr>
        <w:t>include,</w:t>
      </w:r>
      <w:r w:rsidR="00127C8A" w:rsidRPr="00127C8A">
        <w:rPr>
          <w:szCs w:val="24"/>
        </w:rPr>
        <w:t xml:space="preserve"> “I like my supervisor very much as a person” </w:t>
      </w:r>
      <w:r w:rsidR="003D4EDB">
        <w:rPr>
          <w:szCs w:val="24"/>
        </w:rPr>
        <w:t>and</w:t>
      </w:r>
      <w:r w:rsidR="00127C8A" w:rsidRPr="00127C8A">
        <w:rPr>
          <w:szCs w:val="24"/>
        </w:rPr>
        <w:t xml:space="preserve"> “my supervisor would defend me to others in the organization if I made an honest mistake</w:t>
      </w:r>
      <w:r w:rsidR="003D4EDB">
        <w:rPr>
          <w:szCs w:val="24"/>
        </w:rPr>
        <w:t>.</w:t>
      </w:r>
      <w:r w:rsidR="00127C8A" w:rsidRPr="00127C8A">
        <w:rPr>
          <w:szCs w:val="24"/>
        </w:rPr>
        <w:t xml:space="preserve">” </w:t>
      </w:r>
    </w:p>
    <w:p w14:paraId="7A894597" w14:textId="7C6963B3" w:rsidR="000B5B12" w:rsidRDefault="000B5B12" w:rsidP="00E65C5B">
      <w:pPr>
        <w:spacing w:line="480" w:lineRule="auto"/>
        <w:ind w:firstLine="720"/>
        <w:rPr>
          <w:szCs w:val="24"/>
        </w:rPr>
      </w:pPr>
      <w:r w:rsidRPr="00127C8A">
        <w:rPr>
          <w:i/>
          <w:szCs w:val="24"/>
        </w:rPr>
        <w:t>Task performance.</w:t>
      </w:r>
      <w:r w:rsidRPr="00127C8A">
        <w:rPr>
          <w:szCs w:val="24"/>
        </w:rPr>
        <w:t xml:space="preserve"> Employee task performance (</w:t>
      </w:r>
      <w:r w:rsidRPr="00127C8A">
        <w:rPr>
          <w:i/>
          <w:szCs w:val="24"/>
        </w:rPr>
        <w:t>α</w:t>
      </w:r>
      <w:r w:rsidRPr="00127C8A">
        <w:rPr>
          <w:szCs w:val="24"/>
        </w:rPr>
        <w:t xml:space="preserve"> = .9</w:t>
      </w:r>
      <w:r w:rsidR="0029010F" w:rsidRPr="00127C8A">
        <w:rPr>
          <w:szCs w:val="24"/>
        </w:rPr>
        <w:t>4</w:t>
      </w:r>
      <w:r w:rsidRPr="00127C8A">
        <w:rPr>
          <w:szCs w:val="24"/>
        </w:rPr>
        <w:t xml:space="preserve">) was assessed by supervisors using </w:t>
      </w:r>
      <w:r w:rsidR="00511825">
        <w:rPr>
          <w:szCs w:val="24"/>
        </w:rPr>
        <w:t>a</w:t>
      </w:r>
      <w:r w:rsidRPr="00127C8A">
        <w:rPr>
          <w:szCs w:val="24"/>
        </w:rPr>
        <w:t xml:space="preserve"> six-item scale </w:t>
      </w:r>
      <w:r w:rsidR="00511825">
        <w:rPr>
          <w:szCs w:val="24"/>
        </w:rPr>
        <w:t xml:space="preserve">(Alper et al., </w:t>
      </w:r>
      <w:r w:rsidRPr="00127C8A">
        <w:rPr>
          <w:szCs w:val="24"/>
        </w:rPr>
        <w:t xml:space="preserve">2000). </w:t>
      </w:r>
      <w:r w:rsidR="0029010F" w:rsidRPr="00127C8A">
        <w:rPr>
          <w:szCs w:val="24"/>
        </w:rPr>
        <w:t xml:space="preserve">Supervisors were asked to </w:t>
      </w:r>
      <w:r w:rsidR="006C6E99">
        <w:rPr>
          <w:szCs w:val="24"/>
        </w:rPr>
        <w:t xml:space="preserve">indicate </w:t>
      </w:r>
      <w:r w:rsidR="0029010F" w:rsidRPr="00127C8A">
        <w:rPr>
          <w:szCs w:val="24"/>
        </w:rPr>
        <w:t>how frequently their employee engage</w:t>
      </w:r>
      <w:r w:rsidR="006C6E99">
        <w:rPr>
          <w:szCs w:val="24"/>
        </w:rPr>
        <w:t>d</w:t>
      </w:r>
      <w:r w:rsidR="0029010F" w:rsidRPr="00127C8A">
        <w:rPr>
          <w:szCs w:val="24"/>
        </w:rPr>
        <w:t xml:space="preserve"> in </w:t>
      </w:r>
      <w:r w:rsidR="006C6E99">
        <w:rPr>
          <w:szCs w:val="24"/>
        </w:rPr>
        <w:t>activities involving his/her work performance over the previous two weeks</w:t>
      </w:r>
      <w:r w:rsidR="0029010F" w:rsidRPr="00127C8A">
        <w:rPr>
          <w:szCs w:val="24"/>
        </w:rPr>
        <w:t xml:space="preserve"> using a seven-point scale (1 = </w:t>
      </w:r>
      <w:r w:rsidR="0029010F" w:rsidRPr="00127C8A">
        <w:rPr>
          <w:i/>
          <w:szCs w:val="24"/>
        </w:rPr>
        <w:t>never</w:t>
      </w:r>
      <w:r w:rsidR="0029010F" w:rsidRPr="00127C8A">
        <w:rPr>
          <w:szCs w:val="24"/>
        </w:rPr>
        <w:t xml:space="preserve"> to 7 = </w:t>
      </w:r>
      <w:r w:rsidR="0029010F" w:rsidRPr="00127C8A">
        <w:rPr>
          <w:i/>
          <w:szCs w:val="24"/>
        </w:rPr>
        <w:t>always</w:t>
      </w:r>
      <w:r w:rsidR="0029010F" w:rsidRPr="00127C8A">
        <w:rPr>
          <w:szCs w:val="24"/>
        </w:rPr>
        <w:t xml:space="preserve">). </w:t>
      </w:r>
      <w:r w:rsidR="006C6E99">
        <w:rPr>
          <w:szCs w:val="24"/>
        </w:rPr>
        <w:t xml:space="preserve">The question stem was “how often did he/she…” and sample items include </w:t>
      </w:r>
      <w:r w:rsidR="0029010F" w:rsidRPr="00127C8A">
        <w:rPr>
          <w:szCs w:val="24"/>
        </w:rPr>
        <w:t xml:space="preserve">“work effectively” and “meet or exceed </w:t>
      </w:r>
      <w:r w:rsidR="006C6E99">
        <w:rPr>
          <w:szCs w:val="24"/>
        </w:rPr>
        <w:t xml:space="preserve">his/her </w:t>
      </w:r>
      <w:r w:rsidR="0029010F" w:rsidRPr="00127C8A">
        <w:rPr>
          <w:szCs w:val="24"/>
        </w:rPr>
        <w:t>productivity requirements.”</w:t>
      </w:r>
    </w:p>
    <w:p w14:paraId="3FBD140E" w14:textId="4D7362F2" w:rsidR="00AA53AA" w:rsidRPr="00127C8A" w:rsidRDefault="005A4A69" w:rsidP="00E65C5B">
      <w:pPr>
        <w:spacing w:line="480" w:lineRule="auto"/>
        <w:jc w:val="center"/>
        <w:rPr>
          <w:szCs w:val="24"/>
        </w:rPr>
      </w:pPr>
      <w:r>
        <w:rPr>
          <w:szCs w:val="24"/>
        </w:rPr>
        <w:t xml:space="preserve">Study 1 </w:t>
      </w:r>
      <w:r w:rsidR="00FB631F" w:rsidRPr="00127C8A">
        <w:rPr>
          <w:szCs w:val="24"/>
        </w:rPr>
        <w:t>Results</w:t>
      </w:r>
    </w:p>
    <w:p w14:paraId="50AAE910" w14:textId="12418605" w:rsidR="00886933" w:rsidRDefault="009B598C" w:rsidP="000C3D54">
      <w:pPr>
        <w:spacing w:line="480" w:lineRule="auto"/>
        <w:ind w:firstLine="720"/>
        <w:rPr>
          <w:szCs w:val="24"/>
        </w:rPr>
      </w:pPr>
      <w:r w:rsidRPr="00127C8A">
        <w:rPr>
          <w:szCs w:val="24"/>
        </w:rPr>
        <w:lastRenderedPageBreak/>
        <w:t xml:space="preserve">The means, standard deviations, and correlations for the study’s variables are reported in Table 1. </w:t>
      </w:r>
      <w:bookmarkStart w:id="3" w:name="_Hlk532989859"/>
      <w:r w:rsidR="00886933" w:rsidRPr="00D07B3B">
        <w:rPr>
          <w:szCs w:val="24"/>
        </w:rPr>
        <w:t xml:space="preserve">Because of the potential overlap between constructs, we conducted confirmatory factor analyses (CFAs) to compare the </w:t>
      </w:r>
      <w:r w:rsidR="00A80A76">
        <w:rPr>
          <w:szCs w:val="24"/>
        </w:rPr>
        <w:t>hypothesized</w:t>
      </w:r>
      <w:r w:rsidR="00886933" w:rsidRPr="00D07B3B">
        <w:rPr>
          <w:szCs w:val="24"/>
        </w:rPr>
        <w:t xml:space="preserve"> four-factor model—supervisor BLM, employee BLM, LMX, and task performance—with several alternative models. Using maximum likelihood estimation and randomly created item parcels (Floyd </w:t>
      </w:r>
      <w:r w:rsidR="00543FCB">
        <w:rPr>
          <w:szCs w:val="24"/>
        </w:rPr>
        <w:t>and</w:t>
      </w:r>
      <w:r w:rsidR="00886933" w:rsidRPr="00D07B3B">
        <w:rPr>
          <w:szCs w:val="24"/>
        </w:rPr>
        <w:t xml:space="preserve"> Widaman, 1995; Landis</w:t>
      </w:r>
      <w:r w:rsidR="00543FCB">
        <w:rPr>
          <w:szCs w:val="24"/>
        </w:rPr>
        <w:t xml:space="preserve"> et al.</w:t>
      </w:r>
      <w:r w:rsidR="00886933" w:rsidRPr="00D07B3B">
        <w:rPr>
          <w:szCs w:val="24"/>
        </w:rPr>
        <w:t>, 2000) for LMX, we examined the fit indices for the four-factor model and found adequate fit (</w:t>
      </w:r>
      <w:r w:rsidR="00886933" w:rsidRPr="00D07B3B">
        <w:rPr>
          <w:i/>
          <w:iCs/>
          <w:szCs w:val="24"/>
        </w:rPr>
        <w:t>χ</w:t>
      </w:r>
      <w:r w:rsidR="00886933" w:rsidRPr="00D07B3B">
        <w:rPr>
          <w:i/>
          <w:iCs/>
          <w:szCs w:val="24"/>
          <w:vertAlign w:val="superscript"/>
        </w:rPr>
        <w:t>2</w:t>
      </w:r>
      <w:r w:rsidR="00886933" w:rsidRPr="00D07B3B">
        <w:rPr>
          <w:szCs w:val="24"/>
        </w:rPr>
        <w:t xml:space="preserve"> (129) = 389.22; CFI = .90, RMSEA = .10, SRMR = .06). Next we compared the four-factor model to a three-factor model in which employee BLM and supervisor BLM were loaded on one factor, </w:t>
      </w:r>
      <w:r w:rsidR="0005235B">
        <w:rPr>
          <w:szCs w:val="24"/>
        </w:rPr>
        <w:t xml:space="preserve">while </w:t>
      </w:r>
      <w:r w:rsidR="00886933" w:rsidRPr="00D07B3B">
        <w:rPr>
          <w:szCs w:val="24"/>
        </w:rPr>
        <w:t xml:space="preserve">LMX and performance </w:t>
      </w:r>
      <w:r w:rsidR="0005235B">
        <w:rPr>
          <w:szCs w:val="24"/>
        </w:rPr>
        <w:t xml:space="preserve">loaded </w:t>
      </w:r>
      <w:r w:rsidR="00886933" w:rsidRPr="00D07B3B">
        <w:rPr>
          <w:szCs w:val="24"/>
        </w:rPr>
        <w:t>on two separate factors, a two-factor model in which employee BLM, supervisor BLM, and LMX were loaded on one factor, and performance was loaded on a second factor, and a one-factor model in which all items were loaded on a single factor. Using chi-square difference tests, results revealed the four-factor model produced a significant improvement in chi-square over the three-factor (∆</w:t>
      </w:r>
      <w:r w:rsidR="00886933" w:rsidRPr="00D07B3B">
        <w:rPr>
          <w:i/>
          <w:iCs/>
          <w:szCs w:val="24"/>
        </w:rPr>
        <w:t>χ</w:t>
      </w:r>
      <w:r w:rsidR="00886933" w:rsidRPr="00D07B3B">
        <w:rPr>
          <w:i/>
          <w:iCs/>
          <w:szCs w:val="24"/>
          <w:vertAlign w:val="superscript"/>
        </w:rPr>
        <w:t>2</w:t>
      </w:r>
      <w:r w:rsidR="00886933" w:rsidRPr="00D07B3B">
        <w:rPr>
          <w:szCs w:val="24"/>
        </w:rPr>
        <w:t xml:space="preserve"> = 170.84, ∆</w:t>
      </w:r>
      <w:r w:rsidR="00886933" w:rsidRPr="00D07B3B">
        <w:rPr>
          <w:i/>
          <w:szCs w:val="24"/>
          <w:vertAlign w:val="subscript"/>
        </w:rPr>
        <w:t>df</w:t>
      </w:r>
      <w:r w:rsidR="00886933" w:rsidRPr="00D07B3B">
        <w:rPr>
          <w:szCs w:val="24"/>
        </w:rPr>
        <w:t xml:space="preserve"> = 3, </w:t>
      </w:r>
      <w:r w:rsidR="00886933" w:rsidRPr="00D07B3B">
        <w:rPr>
          <w:i/>
          <w:szCs w:val="24"/>
        </w:rPr>
        <w:t>p</w:t>
      </w:r>
      <w:r w:rsidR="00886933" w:rsidRPr="00D07B3B">
        <w:rPr>
          <w:szCs w:val="24"/>
        </w:rPr>
        <w:t xml:space="preserve"> </w:t>
      </w:r>
      <w:r w:rsidR="00A6493D">
        <w:rPr>
          <w:szCs w:val="24"/>
        </w:rPr>
        <w:t>&lt;</w:t>
      </w:r>
      <w:r w:rsidR="00531B29">
        <w:rPr>
          <w:szCs w:val="24"/>
        </w:rPr>
        <w:t xml:space="preserve"> .01</w:t>
      </w:r>
      <w:r w:rsidR="00886933" w:rsidRPr="00D07B3B">
        <w:rPr>
          <w:szCs w:val="24"/>
        </w:rPr>
        <w:t>), two-factor (∆</w:t>
      </w:r>
      <w:r w:rsidR="00886933" w:rsidRPr="00D07B3B">
        <w:rPr>
          <w:i/>
          <w:iCs/>
          <w:szCs w:val="24"/>
        </w:rPr>
        <w:t>χ</w:t>
      </w:r>
      <w:r w:rsidR="00886933" w:rsidRPr="00D07B3B">
        <w:rPr>
          <w:i/>
          <w:iCs/>
          <w:szCs w:val="24"/>
          <w:vertAlign w:val="superscript"/>
        </w:rPr>
        <w:t>2</w:t>
      </w:r>
      <w:r w:rsidR="00886933" w:rsidRPr="00D07B3B">
        <w:rPr>
          <w:szCs w:val="24"/>
        </w:rPr>
        <w:t xml:space="preserve"> = 586.29, ∆</w:t>
      </w:r>
      <w:r w:rsidR="00886933" w:rsidRPr="00D07B3B">
        <w:rPr>
          <w:i/>
          <w:szCs w:val="24"/>
          <w:vertAlign w:val="subscript"/>
        </w:rPr>
        <w:t>df</w:t>
      </w:r>
      <w:r w:rsidR="00886933" w:rsidRPr="00D07B3B">
        <w:rPr>
          <w:szCs w:val="24"/>
        </w:rPr>
        <w:t xml:space="preserve"> = 5, </w:t>
      </w:r>
      <w:r w:rsidR="00886933" w:rsidRPr="00D07B3B">
        <w:rPr>
          <w:i/>
          <w:szCs w:val="24"/>
        </w:rPr>
        <w:t>p</w:t>
      </w:r>
      <w:r w:rsidR="00886933" w:rsidRPr="00D07B3B">
        <w:rPr>
          <w:szCs w:val="24"/>
        </w:rPr>
        <w:t xml:space="preserve"> </w:t>
      </w:r>
      <w:r w:rsidR="00A6493D">
        <w:rPr>
          <w:szCs w:val="24"/>
        </w:rPr>
        <w:t>&lt;</w:t>
      </w:r>
      <w:r w:rsidR="00531B29">
        <w:rPr>
          <w:szCs w:val="24"/>
        </w:rPr>
        <w:t xml:space="preserve"> .01</w:t>
      </w:r>
      <w:r w:rsidR="00886933" w:rsidRPr="00D07B3B">
        <w:rPr>
          <w:szCs w:val="24"/>
        </w:rPr>
        <w:t>), and single-factor (∆</w:t>
      </w:r>
      <w:r w:rsidR="00886933" w:rsidRPr="00D07B3B">
        <w:rPr>
          <w:i/>
          <w:iCs/>
          <w:szCs w:val="24"/>
        </w:rPr>
        <w:t>χ</w:t>
      </w:r>
      <w:r w:rsidR="00886933" w:rsidRPr="00D07B3B">
        <w:rPr>
          <w:i/>
          <w:iCs/>
          <w:szCs w:val="24"/>
          <w:vertAlign w:val="superscript"/>
        </w:rPr>
        <w:t>2</w:t>
      </w:r>
      <w:r w:rsidR="00886933" w:rsidRPr="00D07B3B">
        <w:rPr>
          <w:szCs w:val="24"/>
        </w:rPr>
        <w:t xml:space="preserve"> = 1531.90, ∆</w:t>
      </w:r>
      <w:r w:rsidR="00886933" w:rsidRPr="00D07B3B">
        <w:rPr>
          <w:i/>
          <w:szCs w:val="24"/>
          <w:vertAlign w:val="subscript"/>
        </w:rPr>
        <w:t>df</w:t>
      </w:r>
      <w:r w:rsidR="00886933" w:rsidRPr="00D07B3B">
        <w:rPr>
          <w:szCs w:val="24"/>
        </w:rPr>
        <w:t xml:space="preserve"> = 6, </w:t>
      </w:r>
      <w:r w:rsidR="00886933" w:rsidRPr="00D07B3B">
        <w:rPr>
          <w:i/>
          <w:szCs w:val="24"/>
        </w:rPr>
        <w:t>p</w:t>
      </w:r>
      <w:r w:rsidR="00886933" w:rsidRPr="00D07B3B">
        <w:rPr>
          <w:szCs w:val="24"/>
        </w:rPr>
        <w:t xml:space="preserve"> </w:t>
      </w:r>
      <w:r w:rsidR="00A6493D">
        <w:rPr>
          <w:szCs w:val="24"/>
        </w:rPr>
        <w:t>&lt;</w:t>
      </w:r>
      <w:r w:rsidR="00531B29">
        <w:rPr>
          <w:szCs w:val="24"/>
        </w:rPr>
        <w:t xml:space="preserve"> .01</w:t>
      </w:r>
      <w:r w:rsidR="00886933" w:rsidRPr="00D07B3B">
        <w:rPr>
          <w:szCs w:val="24"/>
        </w:rPr>
        <w:t xml:space="preserve">) </w:t>
      </w:r>
      <w:r w:rsidR="00A6493D">
        <w:rPr>
          <w:szCs w:val="24"/>
        </w:rPr>
        <w:t>model</w:t>
      </w:r>
      <w:r w:rsidR="00886933" w:rsidRPr="00D07B3B">
        <w:rPr>
          <w:szCs w:val="24"/>
        </w:rPr>
        <w:t>. In summary, the four-factor model fit the data significantly better than did any alternative model, thus providing evidence of discriminant validity.</w:t>
      </w:r>
      <w:bookmarkEnd w:id="3"/>
    </w:p>
    <w:p w14:paraId="4B64876D" w14:textId="77777777" w:rsidR="009B598C" w:rsidRPr="00127C8A" w:rsidRDefault="009B598C" w:rsidP="009B598C">
      <w:pPr>
        <w:contextualSpacing/>
        <w:jc w:val="center"/>
      </w:pPr>
      <w:r w:rsidRPr="00127C8A">
        <w:t>---------------------------------------</w:t>
      </w:r>
    </w:p>
    <w:p w14:paraId="6AAC31F8" w14:textId="2112556F" w:rsidR="009B598C" w:rsidRPr="00127C8A" w:rsidRDefault="009B598C" w:rsidP="009B598C">
      <w:pPr>
        <w:contextualSpacing/>
        <w:jc w:val="center"/>
        <w:rPr>
          <w:szCs w:val="24"/>
        </w:rPr>
      </w:pPr>
      <w:r w:rsidRPr="00127C8A">
        <w:rPr>
          <w:szCs w:val="24"/>
        </w:rPr>
        <w:t>Insert Table 1 about here</w:t>
      </w:r>
    </w:p>
    <w:p w14:paraId="6B05DAF9" w14:textId="77777777" w:rsidR="009B598C" w:rsidRPr="00127C8A" w:rsidRDefault="009B598C" w:rsidP="009B598C">
      <w:pPr>
        <w:spacing w:line="480" w:lineRule="auto"/>
        <w:contextualSpacing/>
        <w:jc w:val="center"/>
        <w:rPr>
          <w:szCs w:val="24"/>
        </w:rPr>
      </w:pPr>
      <w:r w:rsidRPr="00127C8A">
        <w:rPr>
          <w:szCs w:val="24"/>
        </w:rPr>
        <w:t>---------------------------------------</w:t>
      </w:r>
    </w:p>
    <w:p w14:paraId="53B72E62" w14:textId="71BD37A6" w:rsidR="00AA53AA" w:rsidRPr="00127C8A" w:rsidRDefault="000B5B12" w:rsidP="000C3D54">
      <w:pPr>
        <w:spacing w:line="480" w:lineRule="auto"/>
        <w:ind w:firstLine="720"/>
      </w:pPr>
      <w:r w:rsidRPr="00127C8A">
        <w:rPr>
          <w:szCs w:val="24"/>
        </w:rPr>
        <w:t xml:space="preserve">To test Hypotheses 1 and 2, </w:t>
      </w:r>
      <w:r w:rsidR="003937CA" w:rsidRPr="00127C8A">
        <w:rPr>
          <w:szCs w:val="24"/>
        </w:rPr>
        <w:t>we used Hayes’ (2013) PROCESS macro (Model 4)</w:t>
      </w:r>
      <w:r w:rsidR="00551437" w:rsidRPr="00127C8A">
        <w:rPr>
          <w:szCs w:val="24"/>
        </w:rPr>
        <w:t xml:space="preserve"> using 5,000 bias-corrected bootstrap samples</w:t>
      </w:r>
      <w:r w:rsidR="003937CA" w:rsidRPr="00127C8A">
        <w:rPr>
          <w:szCs w:val="24"/>
        </w:rPr>
        <w:t xml:space="preserve">. </w:t>
      </w:r>
      <w:r w:rsidR="003937CA" w:rsidRPr="00127C8A">
        <w:t xml:space="preserve">Hypothesis 1 stated supervisor BLM would be negatively related to </w:t>
      </w:r>
      <w:r w:rsidR="0010608B" w:rsidRPr="00127C8A">
        <w:t xml:space="preserve">employee </w:t>
      </w:r>
      <w:r w:rsidR="00127C8A" w:rsidRPr="00127C8A">
        <w:t>perceptions of the LMX relationship</w:t>
      </w:r>
      <w:r w:rsidR="006152CE" w:rsidRPr="006152CE">
        <w:rPr>
          <w:vertAlign w:val="superscript"/>
        </w:rPr>
        <w:t>2</w:t>
      </w:r>
      <w:r w:rsidR="003937CA" w:rsidRPr="00127C8A">
        <w:t xml:space="preserve">. To test this hypothesis, we analyzed the mediator variable model of the PROCESS output, which examines the relationship between the independent variable and the mediator variable. </w:t>
      </w:r>
      <w:r w:rsidR="007636FE" w:rsidRPr="00127C8A">
        <w:t xml:space="preserve">As we hypothesized, </w:t>
      </w:r>
      <w:r w:rsidR="003937CA" w:rsidRPr="00127C8A">
        <w:t xml:space="preserve">supervisor </w:t>
      </w:r>
      <w:r w:rsidR="003937CA" w:rsidRPr="00127C8A">
        <w:lastRenderedPageBreak/>
        <w:t xml:space="preserve">BLM was negatively related to </w:t>
      </w:r>
      <w:r w:rsidR="00127C8A" w:rsidRPr="00127C8A">
        <w:t>employee-rated LMX</w:t>
      </w:r>
      <w:r w:rsidR="003937CA" w:rsidRPr="00127C8A">
        <w:t xml:space="preserve"> (</w:t>
      </w:r>
      <w:r w:rsidR="003937CA" w:rsidRPr="00127C8A">
        <w:rPr>
          <w:i/>
        </w:rPr>
        <w:t>b</w:t>
      </w:r>
      <w:r w:rsidR="003937CA" w:rsidRPr="00127C8A">
        <w:t xml:space="preserve"> = -.2</w:t>
      </w:r>
      <w:r w:rsidR="00966D34">
        <w:t>3</w:t>
      </w:r>
      <w:r w:rsidR="003937CA" w:rsidRPr="00127C8A">
        <w:t xml:space="preserve">, </w:t>
      </w:r>
      <w:r w:rsidR="003937CA" w:rsidRPr="00127C8A">
        <w:rPr>
          <w:i/>
        </w:rPr>
        <w:t>p</w:t>
      </w:r>
      <w:r w:rsidR="003937CA" w:rsidRPr="00127C8A">
        <w:t xml:space="preserve"> &lt; .</w:t>
      </w:r>
      <w:r w:rsidR="002920A9" w:rsidRPr="00127C8A">
        <w:t>001</w:t>
      </w:r>
      <w:r w:rsidR="00036523">
        <w:t xml:space="preserve">; </w:t>
      </w:r>
      <w:r w:rsidR="002920A9" w:rsidRPr="00127C8A">
        <w:t xml:space="preserve">see Table </w:t>
      </w:r>
      <w:r w:rsidR="00A6493D">
        <w:t>2</w:t>
      </w:r>
      <w:r w:rsidR="003937CA" w:rsidRPr="00127C8A">
        <w:t>).</w:t>
      </w:r>
      <w:r w:rsidR="007636FE" w:rsidRPr="00127C8A">
        <w:t xml:space="preserve"> Thus, Hypothesis 1 was supported.</w:t>
      </w:r>
      <w:r w:rsidR="008E305B">
        <w:t xml:space="preserve"> </w:t>
      </w:r>
      <w:r w:rsidR="008E305B" w:rsidRPr="00D71AC7">
        <w:rPr>
          <w:rFonts w:eastAsia="Times New Roman"/>
          <w:szCs w:val="24"/>
        </w:rPr>
        <w:t xml:space="preserve">Our results </w:t>
      </w:r>
      <w:r w:rsidR="00500D84">
        <w:rPr>
          <w:rFonts w:eastAsia="Times New Roman"/>
          <w:szCs w:val="24"/>
        </w:rPr>
        <w:t>also</w:t>
      </w:r>
      <w:r w:rsidR="008E305B" w:rsidRPr="00D71AC7">
        <w:rPr>
          <w:rFonts w:eastAsia="Times New Roman"/>
          <w:szCs w:val="24"/>
        </w:rPr>
        <w:t xml:space="preserve"> show the indirect effect between supervisor BLM and task performance is significant (</w:t>
      </w:r>
      <w:r w:rsidR="008E305B" w:rsidRPr="00D71AC7">
        <w:rPr>
          <w:rFonts w:eastAsia="Times New Roman"/>
          <w:i/>
          <w:szCs w:val="24"/>
        </w:rPr>
        <w:t>b</w:t>
      </w:r>
      <w:r w:rsidR="008E305B" w:rsidRPr="00D71AC7">
        <w:rPr>
          <w:rFonts w:eastAsia="Times New Roman"/>
          <w:szCs w:val="24"/>
        </w:rPr>
        <w:t xml:space="preserve"> = -.0</w:t>
      </w:r>
      <w:r w:rsidR="00966D34">
        <w:rPr>
          <w:rFonts w:eastAsia="Times New Roman"/>
          <w:szCs w:val="24"/>
        </w:rPr>
        <w:t>4</w:t>
      </w:r>
      <w:r w:rsidR="008E305B" w:rsidRPr="00D71AC7">
        <w:rPr>
          <w:rFonts w:eastAsia="Times New Roman"/>
          <w:szCs w:val="24"/>
        </w:rPr>
        <w:t>, CI [-.08</w:t>
      </w:r>
      <w:r w:rsidR="00966D34">
        <w:rPr>
          <w:rFonts w:eastAsia="Times New Roman"/>
          <w:szCs w:val="24"/>
        </w:rPr>
        <w:t>6</w:t>
      </w:r>
      <w:r w:rsidR="008E305B" w:rsidRPr="00D71AC7">
        <w:rPr>
          <w:rFonts w:eastAsia="Times New Roman"/>
          <w:szCs w:val="24"/>
        </w:rPr>
        <w:t>, -.00</w:t>
      </w:r>
      <w:r w:rsidR="00966D34">
        <w:rPr>
          <w:rFonts w:eastAsia="Times New Roman"/>
          <w:szCs w:val="24"/>
        </w:rPr>
        <w:t>9</w:t>
      </w:r>
      <w:r w:rsidR="008E305B" w:rsidRPr="00D71AC7">
        <w:rPr>
          <w:rFonts w:eastAsia="Times New Roman"/>
          <w:szCs w:val="24"/>
        </w:rPr>
        <w:t xml:space="preserve">]). Therefore, Hypothesis 2 is supported as supervisor BLM is </w:t>
      </w:r>
      <w:r w:rsidR="008E305B">
        <w:rPr>
          <w:rFonts w:eastAsia="Times New Roman"/>
          <w:szCs w:val="24"/>
        </w:rPr>
        <w:t>associated with lower</w:t>
      </w:r>
      <w:r w:rsidR="008E305B" w:rsidRPr="00D71AC7">
        <w:rPr>
          <w:rFonts w:eastAsia="Times New Roman"/>
          <w:szCs w:val="24"/>
        </w:rPr>
        <w:t xml:space="preserve"> employee task performance</w:t>
      </w:r>
      <w:r w:rsidR="008E305B">
        <w:rPr>
          <w:rFonts w:eastAsia="Times New Roman"/>
          <w:szCs w:val="24"/>
        </w:rPr>
        <w:t>, which is explained here by t</w:t>
      </w:r>
      <w:r w:rsidR="008E305B" w:rsidRPr="00D71AC7">
        <w:rPr>
          <w:rFonts w:eastAsia="Times New Roman"/>
          <w:szCs w:val="24"/>
        </w:rPr>
        <w:t>he employees’ low perceptions of LMX.</w:t>
      </w:r>
      <w:r w:rsidR="003937CA" w:rsidRPr="00127C8A">
        <w:t xml:space="preserve">  </w:t>
      </w:r>
    </w:p>
    <w:p w14:paraId="7B7F3671" w14:textId="1FA07293" w:rsidR="008E305B" w:rsidRDefault="0024755F" w:rsidP="00630128">
      <w:pPr>
        <w:spacing w:line="480" w:lineRule="auto"/>
        <w:ind w:firstLine="720"/>
        <w:rPr>
          <w:szCs w:val="24"/>
        </w:rPr>
      </w:pPr>
      <w:r w:rsidRPr="00D71AC7">
        <w:rPr>
          <w:szCs w:val="24"/>
        </w:rPr>
        <w:t>To test</w:t>
      </w:r>
      <w:r w:rsidR="00410A4D" w:rsidRPr="00D71AC7">
        <w:rPr>
          <w:szCs w:val="24"/>
        </w:rPr>
        <w:t xml:space="preserve"> Hypotheses 3 and 4, we used Hayes’ (2013) PROCESS macro (Model 7) using 5,000 bias-corrected bootstrap samples. First, we find the interactive effect of supervisor B</w:t>
      </w:r>
      <w:r w:rsidR="00C007F3" w:rsidRPr="00D71AC7">
        <w:rPr>
          <w:szCs w:val="24"/>
        </w:rPr>
        <w:t xml:space="preserve">LM and employee BLM on employee-rated </w:t>
      </w:r>
      <w:r w:rsidR="003F10DE" w:rsidRPr="00D71AC7">
        <w:rPr>
          <w:szCs w:val="24"/>
        </w:rPr>
        <w:t>LMX</w:t>
      </w:r>
      <w:r w:rsidR="00C44173" w:rsidRPr="00D71AC7">
        <w:rPr>
          <w:szCs w:val="24"/>
        </w:rPr>
        <w:t xml:space="preserve"> </w:t>
      </w:r>
      <w:r w:rsidR="00410A4D" w:rsidRPr="00D71AC7">
        <w:rPr>
          <w:szCs w:val="24"/>
        </w:rPr>
        <w:t>is positive and significant (</w:t>
      </w:r>
      <w:r w:rsidR="00410A4D" w:rsidRPr="00D71AC7">
        <w:rPr>
          <w:i/>
          <w:szCs w:val="24"/>
        </w:rPr>
        <w:t>b</w:t>
      </w:r>
      <w:r w:rsidR="00410A4D" w:rsidRPr="00D71AC7">
        <w:rPr>
          <w:szCs w:val="24"/>
        </w:rPr>
        <w:t xml:space="preserve"> = .</w:t>
      </w:r>
      <w:r w:rsidR="003F10DE" w:rsidRPr="00D71AC7">
        <w:rPr>
          <w:szCs w:val="24"/>
        </w:rPr>
        <w:t>09</w:t>
      </w:r>
      <w:r w:rsidR="00410A4D" w:rsidRPr="00D71AC7">
        <w:rPr>
          <w:szCs w:val="24"/>
        </w:rPr>
        <w:t xml:space="preserve">, </w:t>
      </w:r>
      <w:r w:rsidR="00410A4D" w:rsidRPr="00D71AC7">
        <w:rPr>
          <w:i/>
          <w:szCs w:val="24"/>
        </w:rPr>
        <w:t>p</w:t>
      </w:r>
      <w:r w:rsidR="00410A4D" w:rsidRPr="00D71AC7">
        <w:rPr>
          <w:szCs w:val="24"/>
        </w:rPr>
        <w:t xml:space="preserve"> &lt; .0</w:t>
      </w:r>
      <w:r w:rsidR="003F10DE" w:rsidRPr="00D71AC7">
        <w:rPr>
          <w:szCs w:val="24"/>
        </w:rPr>
        <w:t>5</w:t>
      </w:r>
      <w:r w:rsidR="00410A4D" w:rsidRPr="00D71AC7">
        <w:rPr>
          <w:szCs w:val="24"/>
        </w:rPr>
        <w:t>, Δ</w:t>
      </w:r>
      <w:r w:rsidR="00410A4D" w:rsidRPr="00D71AC7">
        <w:rPr>
          <w:i/>
          <w:szCs w:val="24"/>
        </w:rPr>
        <w:t>R</w:t>
      </w:r>
      <w:r w:rsidR="00410A4D" w:rsidRPr="00D71AC7">
        <w:rPr>
          <w:i/>
          <w:szCs w:val="24"/>
          <w:vertAlign w:val="superscript"/>
        </w:rPr>
        <w:t>2</w:t>
      </w:r>
      <w:r w:rsidR="00410A4D" w:rsidRPr="00D71AC7">
        <w:rPr>
          <w:i/>
          <w:szCs w:val="24"/>
        </w:rPr>
        <w:t xml:space="preserve"> </w:t>
      </w:r>
      <w:r w:rsidR="00410A4D" w:rsidRPr="00D71AC7">
        <w:rPr>
          <w:szCs w:val="24"/>
        </w:rPr>
        <w:t>= .0</w:t>
      </w:r>
      <w:r w:rsidR="003F10DE" w:rsidRPr="00D71AC7">
        <w:rPr>
          <w:szCs w:val="24"/>
        </w:rPr>
        <w:t>3</w:t>
      </w:r>
      <w:r w:rsidR="000C3C58">
        <w:rPr>
          <w:szCs w:val="24"/>
        </w:rPr>
        <w:t xml:space="preserve">; </w:t>
      </w:r>
      <w:r w:rsidR="00A06DA3" w:rsidRPr="00D71AC7">
        <w:rPr>
          <w:szCs w:val="24"/>
        </w:rPr>
        <w:t xml:space="preserve">see Table </w:t>
      </w:r>
      <w:r w:rsidR="00A6493D">
        <w:rPr>
          <w:szCs w:val="24"/>
        </w:rPr>
        <w:t>3</w:t>
      </w:r>
      <w:r w:rsidR="00A06DA3" w:rsidRPr="00D71AC7">
        <w:rPr>
          <w:szCs w:val="24"/>
        </w:rPr>
        <w:t>)</w:t>
      </w:r>
      <w:r w:rsidR="00410A4D" w:rsidRPr="00D71AC7">
        <w:rPr>
          <w:szCs w:val="24"/>
        </w:rPr>
        <w:t xml:space="preserve">. We analyzed this interaction </w:t>
      </w:r>
      <w:r w:rsidR="004757FD" w:rsidRPr="00D71AC7">
        <w:rPr>
          <w:szCs w:val="24"/>
        </w:rPr>
        <w:t xml:space="preserve">further by plotting it (Figure </w:t>
      </w:r>
      <w:r w:rsidR="00E52095">
        <w:rPr>
          <w:szCs w:val="24"/>
        </w:rPr>
        <w:t>2</w:t>
      </w:r>
      <w:r w:rsidR="00410A4D" w:rsidRPr="00D71AC7">
        <w:rPr>
          <w:szCs w:val="24"/>
        </w:rPr>
        <w:t xml:space="preserve">) and conducting simple slopes analysis. </w:t>
      </w:r>
      <w:r w:rsidR="00264934">
        <w:rPr>
          <w:szCs w:val="24"/>
        </w:rPr>
        <w:t>Results show t</w:t>
      </w:r>
      <w:r w:rsidR="00264934" w:rsidRPr="00D71AC7">
        <w:rPr>
          <w:szCs w:val="24"/>
        </w:rPr>
        <w:t xml:space="preserve">he simple slope of employee-rated LMX on supervisor BLM was negative and significant when employee BLM was </w:t>
      </w:r>
      <w:r w:rsidR="00264934">
        <w:rPr>
          <w:szCs w:val="24"/>
        </w:rPr>
        <w:t>low</w:t>
      </w:r>
      <w:r w:rsidR="00264934" w:rsidRPr="00D71AC7">
        <w:rPr>
          <w:szCs w:val="24"/>
        </w:rPr>
        <w:t xml:space="preserve"> (</w:t>
      </w:r>
      <w:r w:rsidR="00264934" w:rsidRPr="00D71AC7">
        <w:rPr>
          <w:i/>
          <w:szCs w:val="24"/>
        </w:rPr>
        <w:t>t</w:t>
      </w:r>
      <w:r w:rsidR="00264934" w:rsidRPr="00D71AC7">
        <w:rPr>
          <w:szCs w:val="24"/>
        </w:rPr>
        <w:t xml:space="preserve"> = -6.</w:t>
      </w:r>
      <w:r w:rsidR="00966D34">
        <w:rPr>
          <w:szCs w:val="24"/>
        </w:rPr>
        <w:t>97</w:t>
      </w:r>
      <w:r w:rsidR="00264934" w:rsidRPr="00D71AC7">
        <w:rPr>
          <w:szCs w:val="24"/>
        </w:rPr>
        <w:t xml:space="preserve">, </w:t>
      </w:r>
      <w:r w:rsidR="00264934" w:rsidRPr="00D71AC7">
        <w:rPr>
          <w:i/>
          <w:szCs w:val="24"/>
        </w:rPr>
        <w:t>p</w:t>
      </w:r>
      <w:r w:rsidR="00264934" w:rsidRPr="00D71AC7">
        <w:rPr>
          <w:szCs w:val="24"/>
        </w:rPr>
        <w:t xml:space="preserve"> &lt; .001)</w:t>
      </w:r>
      <w:r w:rsidR="00264934">
        <w:rPr>
          <w:szCs w:val="24"/>
        </w:rPr>
        <w:t xml:space="preserve">, yet it was weaker when employee BLM was high </w:t>
      </w:r>
      <w:r w:rsidR="00264934" w:rsidRPr="00D71AC7">
        <w:rPr>
          <w:szCs w:val="24"/>
        </w:rPr>
        <w:t>(</w:t>
      </w:r>
      <w:r w:rsidR="00264934" w:rsidRPr="00D71AC7">
        <w:rPr>
          <w:i/>
          <w:szCs w:val="24"/>
        </w:rPr>
        <w:t>t</w:t>
      </w:r>
      <w:r w:rsidR="00264934" w:rsidRPr="00D71AC7">
        <w:rPr>
          <w:szCs w:val="24"/>
        </w:rPr>
        <w:t xml:space="preserve"> = -3.</w:t>
      </w:r>
      <w:r w:rsidR="00966D34">
        <w:rPr>
          <w:szCs w:val="24"/>
        </w:rPr>
        <w:t>57</w:t>
      </w:r>
      <w:r w:rsidR="00264934" w:rsidRPr="00D71AC7">
        <w:rPr>
          <w:szCs w:val="24"/>
        </w:rPr>
        <w:t xml:space="preserve">, </w:t>
      </w:r>
      <w:r w:rsidR="00264934" w:rsidRPr="00D71AC7">
        <w:rPr>
          <w:i/>
          <w:szCs w:val="24"/>
        </w:rPr>
        <w:t>p</w:t>
      </w:r>
      <w:r w:rsidR="00264934" w:rsidRPr="00D71AC7">
        <w:rPr>
          <w:szCs w:val="24"/>
        </w:rPr>
        <w:t xml:space="preserve"> &lt; .0</w:t>
      </w:r>
      <w:r w:rsidR="00966D34">
        <w:rPr>
          <w:szCs w:val="24"/>
        </w:rPr>
        <w:t>0</w:t>
      </w:r>
      <w:r w:rsidR="00264934" w:rsidRPr="00D71AC7">
        <w:rPr>
          <w:szCs w:val="24"/>
        </w:rPr>
        <w:t>1</w:t>
      </w:r>
      <w:r w:rsidR="00264934">
        <w:rPr>
          <w:szCs w:val="24"/>
        </w:rPr>
        <w:t>)</w:t>
      </w:r>
      <w:r w:rsidR="00264934" w:rsidRPr="00D71AC7">
        <w:rPr>
          <w:szCs w:val="24"/>
        </w:rPr>
        <w:t xml:space="preserve">. </w:t>
      </w:r>
      <w:r w:rsidR="000C3C58">
        <w:rPr>
          <w:szCs w:val="24"/>
        </w:rPr>
        <w:t>That is</w:t>
      </w:r>
      <w:r w:rsidR="00740898" w:rsidRPr="00D71AC7">
        <w:rPr>
          <w:szCs w:val="24"/>
        </w:rPr>
        <w:t xml:space="preserve">, </w:t>
      </w:r>
      <w:r w:rsidR="00002B57">
        <w:rPr>
          <w:szCs w:val="24"/>
        </w:rPr>
        <w:t xml:space="preserve">when employee BLM is low the relationship between supervisor BLM and LMX perceptions is made worse, </w:t>
      </w:r>
      <w:r w:rsidR="0024580F">
        <w:rPr>
          <w:szCs w:val="24"/>
        </w:rPr>
        <w:t>yet</w:t>
      </w:r>
      <w:r w:rsidR="00002B57">
        <w:rPr>
          <w:szCs w:val="24"/>
        </w:rPr>
        <w:t xml:space="preserve"> the </w:t>
      </w:r>
      <w:r w:rsidR="0024580F">
        <w:rPr>
          <w:szCs w:val="24"/>
        </w:rPr>
        <w:t>effect is less severe when employee BLM is high</w:t>
      </w:r>
      <w:r w:rsidR="00740898" w:rsidRPr="00D71AC7">
        <w:rPr>
          <w:szCs w:val="24"/>
        </w:rPr>
        <w:t xml:space="preserve">. </w:t>
      </w:r>
      <w:r w:rsidR="00041463">
        <w:rPr>
          <w:szCs w:val="24"/>
        </w:rPr>
        <w:t xml:space="preserve">Thus, </w:t>
      </w:r>
      <w:r w:rsidR="00511825">
        <w:rPr>
          <w:szCs w:val="24"/>
        </w:rPr>
        <w:t xml:space="preserve">Hypothesis 3 is supported as </w:t>
      </w:r>
      <w:r w:rsidR="00041463">
        <w:rPr>
          <w:szCs w:val="24"/>
        </w:rPr>
        <w:t>the negative relationship between supervisor BLM and employee LMX perceptions is strengthened more so when employee BLM is low</w:t>
      </w:r>
      <w:r w:rsidR="00500D84">
        <w:rPr>
          <w:szCs w:val="24"/>
        </w:rPr>
        <w:t xml:space="preserve"> as opposed to high</w:t>
      </w:r>
      <w:r w:rsidR="00041463">
        <w:rPr>
          <w:szCs w:val="24"/>
        </w:rPr>
        <w:t>.</w:t>
      </w:r>
    </w:p>
    <w:p w14:paraId="33AFD230" w14:textId="01A6E6D2" w:rsidR="008E305B" w:rsidRPr="00127C8A" w:rsidRDefault="008E305B" w:rsidP="008E305B">
      <w:pPr>
        <w:contextualSpacing/>
        <w:jc w:val="center"/>
      </w:pPr>
      <w:r w:rsidRPr="00127C8A">
        <w:t>-----------------------</w:t>
      </w:r>
      <w:r w:rsidR="0063763F">
        <w:t>--------</w:t>
      </w:r>
      <w:r w:rsidRPr="00127C8A">
        <w:t>----------------</w:t>
      </w:r>
    </w:p>
    <w:p w14:paraId="7B1F4EE8" w14:textId="4697185C" w:rsidR="008E305B" w:rsidRPr="00127C8A" w:rsidRDefault="008E305B" w:rsidP="008E305B">
      <w:pPr>
        <w:contextualSpacing/>
        <w:jc w:val="center"/>
        <w:rPr>
          <w:szCs w:val="24"/>
        </w:rPr>
      </w:pPr>
      <w:r w:rsidRPr="00127C8A">
        <w:rPr>
          <w:szCs w:val="24"/>
        </w:rPr>
        <w:t>Insert Table</w:t>
      </w:r>
      <w:r w:rsidR="00DE72DA">
        <w:rPr>
          <w:szCs w:val="24"/>
        </w:rPr>
        <w:t xml:space="preserve">s </w:t>
      </w:r>
      <w:r w:rsidR="00A6493D">
        <w:rPr>
          <w:szCs w:val="24"/>
        </w:rPr>
        <w:t>2</w:t>
      </w:r>
      <w:r w:rsidR="00DE72DA">
        <w:rPr>
          <w:szCs w:val="24"/>
        </w:rPr>
        <w:t xml:space="preserve"> and</w:t>
      </w:r>
      <w:r>
        <w:rPr>
          <w:szCs w:val="24"/>
        </w:rPr>
        <w:t xml:space="preserve"> </w:t>
      </w:r>
      <w:r w:rsidR="00A6493D">
        <w:rPr>
          <w:szCs w:val="24"/>
        </w:rPr>
        <w:t>3</w:t>
      </w:r>
      <w:r w:rsidRPr="00127C8A">
        <w:rPr>
          <w:szCs w:val="24"/>
        </w:rPr>
        <w:t xml:space="preserve"> and</w:t>
      </w:r>
      <w:r>
        <w:rPr>
          <w:szCs w:val="24"/>
        </w:rPr>
        <w:t xml:space="preserve"> Figure</w:t>
      </w:r>
      <w:r w:rsidRPr="00127C8A">
        <w:rPr>
          <w:szCs w:val="24"/>
        </w:rPr>
        <w:t xml:space="preserve"> 2 about here</w:t>
      </w:r>
    </w:p>
    <w:p w14:paraId="31841895" w14:textId="6F66591B" w:rsidR="008E305B" w:rsidRDefault="008E305B" w:rsidP="008E305B">
      <w:pPr>
        <w:spacing w:line="480" w:lineRule="auto"/>
        <w:jc w:val="center"/>
        <w:rPr>
          <w:szCs w:val="24"/>
        </w:rPr>
      </w:pPr>
      <w:r w:rsidRPr="00127C8A">
        <w:rPr>
          <w:szCs w:val="24"/>
        </w:rPr>
        <w:t>--------------------</w:t>
      </w:r>
      <w:r w:rsidR="0063763F">
        <w:rPr>
          <w:szCs w:val="24"/>
        </w:rPr>
        <w:t>---------</w:t>
      </w:r>
      <w:r w:rsidRPr="00127C8A">
        <w:rPr>
          <w:szCs w:val="24"/>
        </w:rPr>
        <w:t>-------------------</w:t>
      </w:r>
    </w:p>
    <w:p w14:paraId="1397981B" w14:textId="77777777" w:rsidR="008D7214" w:rsidRDefault="00B34964" w:rsidP="00E65C5B">
      <w:pPr>
        <w:spacing w:line="480" w:lineRule="auto"/>
        <w:ind w:firstLine="720"/>
        <w:rPr>
          <w:szCs w:val="24"/>
        </w:rPr>
      </w:pPr>
      <w:r w:rsidRPr="006F66A6">
        <w:rPr>
          <w:szCs w:val="24"/>
        </w:rPr>
        <w:t>To analyze Hypothesis</w:t>
      </w:r>
      <w:r w:rsidR="00F0242D" w:rsidRPr="006F66A6">
        <w:rPr>
          <w:szCs w:val="24"/>
        </w:rPr>
        <w:t xml:space="preserve"> 4, we first note </w:t>
      </w:r>
      <w:r w:rsidR="008D04D1" w:rsidRPr="006F66A6">
        <w:rPr>
          <w:szCs w:val="24"/>
        </w:rPr>
        <w:t>LMX</w:t>
      </w:r>
      <w:r w:rsidR="00C44173" w:rsidRPr="006F66A6">
        <w:rPr>
          <w:szCs w:val="24"/>
        </w:rPr>
        <w:t xml:space="preserve"> </w:t>
      </w:r>
      <w:r w:rsidRPr="006F66A6">
        <w:rPr>
          <w:szCs w:val="24"/>
        </w:rPr>
        <w:t>is positively related to task performance (</w:t>
      </w:r>
      <w:r w:rsidRPr="006F66A6">
        <w:rPr>
          <w:i/>
          <w:szCs w:val="24"/>
        </w:rPr>
        <w:t>b</w:t>
      </w:r>
      <w:r w:rsidRPr="006F66A6">
        <w:rPr>
          <w:szCs w:val="24"/>
        </w:rPr>
        <w:t xml:space="preserve"> = .</w:t>
      </w:r>
      <w:r w:rsidR="00F0242D" w:rsidRPr="006F66A6">
        <w:rPr>
          <w:szCs w:val="24"/>
        </w:rPr>
        <w:t>1</w:t>
      </w:r>
      <w:r w:rsidR="00966D34">
        <w:rPr>
          <w:szCs w:val="24"/>
        </w:rPr>
        <w:t>6</w:t>
      </w:r>
      <w:r w:rsidRPr="006F66A6">
        <w:rPr>
          <w:szCs w:val="24"/>
        </w:rPr>
        <w:t xml:space="preserve">, </w:t>
      </w:r>
      <w:r w:rsidRPr="006F66A6">
        <w:rPr>
          <w:i/>
          <w:szCs w:val="24"/>
        </w:rPr>
        <w:t>p</w:t>
      </w:r>
      <w:r w:rsidR="00F0242D" w:rsidRPr="006F66A6">
        <w:rPr>
          <w:szCs w:val="24"/>
        </w:rPr>
        <w:t xml:space="preserve"> &lt; .0</w:t>
      </w:r>
      <w:r w:rsidR="0010608B" w:rsidRPr="006F66A6">
        <w:rPr>
          <w:szCs w:val="24"/>
        </w:rPr>
        <w:t>5</w:t>
      </w:r>
      <w:r w:rsidR="00F0242D" w:rsidRPr="006F66A6">
        <w:rPr>
          <w:szCs w:val="24"/>
        </w:rPr>
        <w:t>)</w:t>
      </w:r>
      <w:r w:rsidRPr="006F66A6">
        <w:rPr>
          <w:szCs w:val="24"/>
        </w:rPr>
        <w:t>.</w:t>
      </w:r>
      <w:r w:rsidR="00A06DA3" w:rsidRPr="006F66A6">
        <w:rPr>
          <w:szCs w:val="24"/>
        </w:rPr>
        <w:t xml:space="preserve"> </w:t>
      </w:r>
      <w:r w:rsidR="0063763F">
        <w:rPr>
          <w:szCs w:val="24"/>
        </w:rPr>
        <w:t>Next, we</w:t>
      </w:r>
      <w:r w:rsidR="00A06DA3" w:rsidRPr="006F66A6">
        <w:rPr>
          <w:szCs w:val="24"/>
        </w:rPr>
        <w:t xml:space="preserve"> analyze</w:t>
      </w:r>
      <w:r w:rsidR="00EA3F8A" w:rsidRPr="006F66A6">
        <w:rPr>
          <w:szCs w:val="24"/>
        </w:rPr>
        <w:t>d</w:t>
      </w:r>
      <w:r w:rsidR="00A06DA3" w:rsidRPr="006F66A6">
        <w:rPr>
          <w:szCs w:val="24"/>
        </w:rPr>
        <w:t xml:space="preserve"> the conditional indirect effect of supervisor BLM on </w:t>
      </w:r>
      <w:r w:rsidR="006F66A6" w:rsidRPr="006F66A6">
        <w:rPr>
          <w:szCs w:val="24"/>
        </w:rPr>
        <w:t>employees’ task performance</w:t>
      </w:r>
      <w:r w:rsidR="00A06DA3" w:rsidRPr="006F66A6">
        <w:rPr>
          <w:szCs w:val="24"/>
        </w:rPr>
        <w:t xml:space="preserve"> through </w:t>
      </w:r>
      <w:r w:rsidR="006F66A6" w:rsidRPr="006F66A6">
        <w:rPr>
          <w:szCs w:val="24"/>
        </w:rPr>
        <w:t>LMX</w:t>
      </w:r>
      <w:r w:rsidR="00C44173" w:rsidRPr="006F66A6">
        <w:rPr>
          <w:szCs w:val="24"/>
        </w:rPr>
        <w:t xml:space="preserve"> </w:t>
      </w:r>
      <w:r w:rsidR="00A06DA3" w:rsidRPr="006F66A6">
        <w:rPr>
          <w:szCs w:val="24"/>
        </w:rPr>
        <w:t>at different levels of employee BLM.</w:t>
      </w:r>
      <w:r w:rsidR="006F66A6" w:rsidRPr="006F66A6">
        <w:rPr>
          <w:szCs w:val="24"/>
        </w:rPr>
        <w:t xml:space="preserve"> </w:t>
      </w:r>
      <w:r w:rsidR="00A06DA3" w:rsidRPr="006F66A6">
        <w:rPr>
          <w:szCs w:val="24"/>
        </w:rPr>
        <w:t>The conditional indirect effect is significant when employee BLM is low (i.e., 1 standard deviation below the mean</w:t>
      </w:r>
      <w:r w:rsidR="001D111E" w:rsidRPr="006F66A6">
        <w:rPr>
          <w:szCs w:val="24"/>
        </w:rPr>
        <w:t>),</w:t>
      </w:r>
      <w:r w:rsidR="00A06DA3" w:rsidRPr="006F66A6">
        <w:rPr>
          <w:szCs w:val="24"/>
        </w:rPr>
        <w:t xml:space="preserve"> average</w:t>
      </w:r>
      <w:r w:rsidR="00CD2A12" w:rsidRPr="006F66A6">
        <w:rPr>
          <w:szCs w:val="24"/>
        </w:rPr>
        <w:t xml:space="preserve">, </w:t>
      </w:r>
      <w:r w:rsidR="00A06DA3" w:rsidRPr="006F66A6">
        <w:rPr>
          <w:szCs w:val="24"/>
        </w:rPr>
        <w:t>and high (i.e., 1 standard deviation above the m</w:t>
      </w:r>
      <w:r w:rsidR="00CD2A12" w:rsidRPr="006F66A6">
        <w:rPr>
          <w:szCs w:val="24"/>
        </w:rPr>
        <w:t>e</w:t>
      </w:r>
      <w:r w:rsidR="00A06DA3" w:rsidRPr="006F66A6">
        <w:rPr>
          <w:szCs w:val="24"/>
        </w:rPr>
        <w:t>an</w:t>
      </w:r>
      <w:r w:rsidR="00282BC5" w:rsidRPr="006F66A6">
        <w:rPr>
          <w:szCs w:val="24"/>
        </w:rPr>
        <w:t xml:space="preserve">; </w:t>
      </w:r>
      <w:r w:rsidR="001D111E" w:rsidRPr="006F66A6">
        <w:rPr>
          <w:szCs w:val="24"/>
        </w:rPr>
        <w:t xml:space="preserve">see Table </w:t>
      </w:r>
      <w:r w:rsidR="00F0242D" w:rsidRPr="006F66A6">
        <w:rPr>
          <w:szCs w:val="24"/>
        </w:rPr>
        <w:t>3</w:t>
      </w:r>
      <w:r w:rsidR="001D111E" w:rsidRPr="006F66A6">
        <w:rPr>
          <w:szCs w:val="24"/>
        </w:rPr>
        <w:t xml:space="preserve"> for </w:t>
      </w:r>
      <w:r w:rsidR="001D111E" w:rsidRPr="006F66A6">
        <w:rPr>
          <w:szCs w:val="24"/>
        </w:rPr>
        <w:lastRenderedPageBreak/>
        <w:t xml:space="preserve">results). </w:t>
      </w:r>
      <w:r w:rsidR="00A06DA3" w:rsidRPr="006F66A6">
        <w:rPr>
          <w:szCs w:val="24"/>
        </w:rPr>
        <w:t xml:space="preserve">Additionally, </w:t>
      </w:r>
      <w:r w:rsidR="00E65C5B" w:rsidRPr="006F66A6">
        <w:rPr>
          <w:szCs w:val="24"/>
        </w:rPr>
        <w:t xml:space="preserve">PROCESS produces a more definitive test of moderated mediation (Hayes, 2015), called </w:t>
      </w:r>
      <w:r w:rsidR="00A06DA3" w:rsidRPr="006F66A6">
        <w:rPr>
          <w:szCs w:val="24"/>
        </w:rPr>
        <w:t xml:space="preserve">the </w:t>
      </w:r>
      <w:r w:rsidR="00C511F6" w:rsidRPr="006F66A6">
        <w:rPr>
          <w:szCs w:val="24"/>
        </w:rPr>
        <w:t>Index of Moderated Mediation (</w:t>
      </w:r>
      <w:r w:rsidR="00A06DA3" w:rsidRPr="006F66A6">
        <w:rPr>
          <w:szCs w:val="24"/>
        </w:rPr>
        <w:t>IOMM</w:t>
      </w:r>
      <w:r w:rsidR="00C511F6" w:rsidRPr="006F66A6">
        <w:rPr>
          <w:szCs w:val="24"/>
        </w:rPr>
        <w:t>)</w:t>
      </w:r>
      <w:r w:rsidR="00E65C5B" w:rsidRPr="006F66A6">
        <w:rPr>
          <w:szCs w:val="24"/>
        </w:rPr>
        <w:t xml:space="preserve">. When the bootstrap confidence interval for the IOMM does not </w:t>
      </w:r>
      <w:r w:rsidR="0005235B">
        <w:rPr>
          <w:szCs w:val="24"/>
        </w:rPr>
        <w:t>include</w:t>
      </w:r>
      <w:r w:rsidR="00E65C5B" w:rsidRPr="006F66A6">
        <w:rPr>
          <w:szCs w:val="24"/>
        </w:rPr>
        <w:t xml:space="preserve"> zero, moderated mediation can be said to be occurring. In our analyses, the IOMM</w:t>
      </w:r>
      <w:r w:rsidR="003F10DE" w:rsidRPr="006F66A6">
        <w:rPr>
          <w:szCs w:val="24"/>
        </w:rPr>
        <w:t xml:space="preserve"> is significant for </w:t>
      </w:r>
      <w:r w:rsidR="00A06DA3" w:rsidRPr="006F66A6">
        <w:rPr>
          <w:szCs w:val="24"/>
        </w:rPr>
        <w:t>task performance (</w:t>
      </w:r>
      <w:r w:rsidR="00A06DA3" w:rsidRPr="006F66A6">
        <w:rPr>
          <w:i/>
          <w:szCs w:val="24"/>
        </w:rPr>
        <w:t>b</w:t>
      </w:r>
      <w:r w:rsidR="00A06DA3" w:rsidRPr="006F66A6">
        <w:rPr>
          <w:szCs w:val="24"/>
        </w:rPr>
        <w:t xml:space="preserve"> = .</w:t>
      </w:r>
      <w:r w:rsidR="003F10DE" w:rsidRPr="006F66A6">
        <w:rPr>
          <w:szCs w:val="24"/>
        </w:rPr>
        <w:t>01</w:t>
      </w:r>
      <w:r w:rsidR="00A06DA3" w:rsidRPr="006F66A6">
        <w:rPr>
          <w:szCs w:val="24"/>
        </w:rPr>
        <w:t xml:space="preserve"> (.01), CI [.0</w:t>
      </w:r>
      <w:r w:rsidR="00F0242D" w:rsidRPr="006F66A6">
        <w:rPr>
          <w:szCs w:val="24"/>
        </w:rPr>
        <w:t>0</w:t>
      </w:r>
      <w:r w:rsidR="00966D34">
        <w:rPr>
          <w:szCs w:val="24"/>
        </w:rPr>
        <w:t>1</w:t>
      </w:r>
      <w:r w:rsidR="00A06DA3" w:rsidRPr="006F66A6">
        <w:rPr>
          <w:szCs w:val="24"/>
        </w:rPr>
        <w:t>, .0</w:t>
      </w:r>
      <w:r w:rsidR="0010608B" w:rsidRPr="006F66A6">
        <w:rPr>
          <w:szCs w:val="24"/>
        </w:rPr>
        <w:t>4</w:t>
      </w:r>
      <w:r w:rsidR="00966D34">
        <w:rPr>
          <w:szCs w:val="24"/>
        </w:rPr>
        <w:t>7</w:t>
      </w:r>
      <w:r w:rsidR="003F10DE" w:rsidRPr="006F66A6">
        <w:rPr>
          <w:szCs w:val="24"/>
        </w:rPr>
        <w:t>])</w:t>
      </w:r>
      <w:r w:rsidR="00A06DA3" w:rsidRPr="006F66A6">
        <w:rPr>
          <w:szCs w:val="24"/>
        </w:rPr>
        <w:t>. These results demonstrate</w:t>
      </w:r>
      <w:r w:rsidR="00F05B72" w:rsidRPr="006F66A6">
        <w:rPr>
          <w:szCs w:val="24"/>
        </w:rPr>
        <w:t xml:space="preserve"> the negative </w:t>
      </w:r>
      <w:r w:rsidR="00111278">
        <w:rPr>
          <w:szCs w:val="24"/>
        </w:rPr>
        <w:t>relationship between</w:t>
      </w:r>
      <w:r w:rsidR="00F05B72" w:rsidRPr="006F66A6">
        <w:rPr>
          <w:szCs w:val="24"/>
        </w:rPr>
        <w:t xml:space="preserve"> supervisor BLM </w:t>
      </w:r>
      <w:r w:rsidR="00111278">
        <w:rPr>
          <w:szCs w:val="24"/>
        </w:rPr>
        <w:t xml:space="preserve">and </w:t>
      </w:r>
      <w:r w:rsidR="003F10DE" w:rsidRPr="006F66A6">
        <w:rPr>
          <w:szCs w:val="24"/>
        </w:rPr>
        <w:t xml:space="preserve">employees’ task performance </w:t>
      </w:r>
      <w:r w:rsidR="00F0242D" w:rsidRPr="006F66A6">
        <w:rPr>
          <w:szCs w:val="24"/>
        </w:rPr>
        <w:t>a</w:t>
      </w:r>
      <w:r w:rsidR="0010608B" w:rsidRPr="006F66A6">
        <w:rPr>
          <w:szCs w:val="24"/>
        </w:rPr>
        <w:t xml:space="preserve">s mediated by employee </w:t>
      </w:r>
      <w:r w:rsidR="003F10DE" w:rsidRPr="006F66A6">
        <w:rPr>
          <w:szCs w:val="24"/>
        </w:rPr>
        <w:t>perceptions of LMX</w:t>
      </w:r>
      <w:r w:rsidR="00F0242D" w:rsidRPr="006F66A6">
        <w:rPr>
          <w:szCs w:val="24"/>
        </w:rPr>
        <w:t xml:space="preserve"> </w:t>
      </w:r>
      <w:r w:rsidR="00F05B72" w:rsidRPr="006F66A6">
        <w:rPr>
          <w:szCs w:val="24"/>
        </w:rPr>
        <w:t>is strengthened (i.e., made worse) when employee BLM is low</w:t>
      </w:r>
      <w:r w:rsidR="002A408A">
        <w:rPr>
          <w:szCs w:val="24"/>
        </w:rPr>
        <w:t>, providing</w:t>
      </w:r>
      <w:r w:rsidR="00F05B72" w:rsidRPr="006F66A6">
        <w:rPr>
          <w:szCs w:val="24"/>
        </w:rPr>
        <w:t xml:space="preserve"> support for</w:t>
      </w:r>
      <w:r w:rsidR="00A06DA3" w:rsidRPr="006F66A6">
        <w:rPr>
          <w:szCs w:val="24"/>
        </w:rPr>
        <w:t xml:space="preserve"> Hypothesis 4.</w:t>
      </w:r>
      <w:r w:rsidR="008D7214">
        <w:rPr>
          <w:szCs w:val="24"/>
        </w:rPr>
        <w:t xml:space="preserve"> </w:t>
      </w:r>
    </w:p>
    <w:p w14:paraId="6080363B" w14:textId="56A1ADDB" w:rsidR="00BA23A0" w:rsidRDefault="008D7214" w:rsidP="00E65C5B">
      <w:pPr>
        <w:spacing w:line="480" w:lineRule="auto"/>
        <w:ind w:firstLine="720"/>
        <w:rPr>
          <w:szCs w:val="24"/>
        </w:rPr>
      </w:pPr>
      <w:r w:rsidRPr="00336BA7">
        <w:rPr>
          <w:szCs w:val="24"/>
        </w:rPr>
        <w:t>Extant research on leadership has most commonly controlled for follower gender, organizational tenure, and age when studying LMX (Bernerth et al., 2018). Given our theoretical model focused on employee perceptions of LMX as a mediating mechanism, we also conducted analyses while controlling for these three employee demographic variables. Those results were largely identical to those presented herein and support was also found for all four hypotheses. However, none of the control variables were significant predictors and thus, following best practices for control variable usage (Bernerth and Aguinis, 2016), we opted to not include them in our final analyses.</w:t>
      </w:r>
    </w:p>
    <w:p w14:paraId="1FC474B6" w14:textId="1F662C8B" w:rsidR="00B03646" w:rsidRDefault="00B03646" w:rsidP="00B03646">
      <w:pPr>
        <w:spacing w:line="480" w:lineRule="auto"/>
        <w:rPr>
          <w:szCs w:val="24"/>
        </w:rPr>
      </w:pPr>
      <w:r>
        <w:rPr>
          <w:szCs w:val="24"/>
        </w:rPr>
        <w:tab/>
      </w:r>
      <w:r w:rsidR="00B071DB">
        <w:rPr>
          <w:szCs w:val="24"/>
        </w:rPr>
        <w:t xml:space="preserve">Study 1 provides evidence supervisor BLM will result in lower levels of employee task performance as mediated by lower LMX perceptions. This indirect effect is made worse when employees are low on BLM. We then designed Study 2 to replicate our results </w:t>
      </w:r>
      <w:r w:rsidR="00B071DB">
        <w:t xml:space="preserve">while operationalizing the explanatory mechanism, LMX, in a way that more specifically </w:t>
      </w:r>
      <w:r w:rsidR="001B0754">
        <w:t>examines the</w:t>
      </w:r>
      <w:r w:rsidR="00B071DB">
        <w:t xml:space="preserve"> social exchange in the supervisor-employee relationship. </w:t>
      </w:r>
    </w:p>
    <w:p w14:paraId="71D3AD17" w14:textId="0D0F51DE" w:rsidR="00DB3644" w:rsidRDefault="003A7E7D" w:rsidP="003A7E7D">
      <w:pPr>
        <w:spacing w:line="480" w:lineRule="auto"/>
        <w:jc w:val="center"/>
        <w:rPr>
          <w:szCs w:val="24"/>
        </w:rPr>
      </w:pPr>
      <w:r>
        <w:rPr>
          <w:szCs w:val="24"/>
        </w:rPr>
        <w:t>Study 2</w:t>
      </w:r>
    </w:p>
    <w:p w14:paraId="022906AB" w14:textId="4742FCBA" w:rsidR="00BA23A0" w:rsidRPr="003A7E7D" w:rsidRDefault="00BA23A0" w:rsidP="00BA23A0">
      <w:pPr>
        <w:spacing w:line="480" w:lineRule="auto"/>
        <w:rPr>
          <w:i/>
        </w:rPr>
      </w:pPr>
      <w:r w:rsidRPr="003A7E7D">
        <w:rPr>
          <w:i/>
        </w:rPr>
        <w:t>Sample and Procedure</w:t>
      </w:r>
    </w:p>
    <w:p w14:paraId="7AF18B1C" w14:textId="26F3A4F5" w:rsidR="00BA23A0" w:rsidRPr="003A7E7D" w:rsidRDefault="003A7E7D" w:rsidP="00BA23A0">
      <w:pPr>
        <w:spacing w:line="480" w:lineRule="auto"/>
        <w:ind w:firstLine="720"/>
        <w:contextualSpacing/>
        <w:rPr>
          <w:szCs w:val="24"/>
        </w:rPr>
      </w:pPr>
      <w:r w:rsidRPr="003A7E7D">
        <w:rPr>
          <w:szCs w:val="24"/>
        </w:rPr>
        <w:lastRenderedPageBreak/>
        <w:t>Similar to procedures used in Study 1, we collected field data from employees and their direct supervisors across two time periods</w:t>
      </w:r>
      <w:r w:rsidR="0005235B">
        <w:rPr>
          <w:szCs w:val="24"/>
        </w:rPr>
        <w:t xml:space="preserve"> in a wide range of industries</w:t>
      </w:r>
      <w:r w:rsidRPr="003A7E7D">
        <w:rPr>
          <w:szCs w:val="24"/>
        </w:rPr>
        <w:t xml:space="preserve">. Students enrolled in business management courses at two large universities in the southern United States provided the contact information for a full-time working adult and his/her supervisor in exchange for extra credit. At Time 1, the research team emailed the employee participants directly with their first survey. Two weeks later (Time 2), the research team emailed employees </w:t>
      </w:r>
      <w:r>
        <w:rPr>
          <w:szCs w:val="24"/>
        </w:rPr>
        <w:t>their</w:t>
      </w:r>
      <w:r w:rsidRPr="003A7E7D">
        <w:rPr>
          <w:szCs w:val="24"/>
        </w:rPr>
        <w:t xml:space="preserve"> second and final survey and supervisors received their survey. For their participation, employees and supervisors were entered into a random drawing </w:t>
      </w:r>
      <w:r w:rsidR="00BA23A0" w:rsidRPr="003A7E7D">
        <w:rPr>
          <w:szCs w:val="24"/>
        </w:rPr>
        <w:t xml:space="preserve">to </w:t>
      </w:r>
      <w:r w:rsidRPr="003A7E7D">
        <w:rPr>
          <w:szCs w:val="24"/>
        </w:rPr>
        <w:t>win one of ten $50 gift cards</w:t>
      </w:r>
      <w:r w:rsidR="00BA23A0" w:rsidRPr="003A7E7D">
        <w:rPr>
          <w:szCs w:val="24"/>
        </w:rPr>
        <w:t xml:space="preserve">. </w:t>
      </w:r>
    </w:p>
    <w:p w14:paraId="1F72ABD6" w14:textId="4662DE82" w:rsidR="00BA23A0" w:rsidRPr="00BE1D3B" w:rsidRDefault="00BA23A0" w:rsidP="00BA23A0">
      <w:pPr>
        <w:spacing w:line="480" w:lineRule="auto"/>
        <w:contextualSpacing/>
        <w:rPr>
          <w:szCs w:val="24"/>
        </w:rPr>
      </w:pPr>
      <w:r w:rsidRPr="00BE1D3B">
        <w:rPr>
          <w:szCs w:val="24"/>
        </w:rPr>
        <w:tab/>
        <w:t xml:space="preserve">Students provided </w:t>
      </w:r>
      <w:r w:rsidR="00396176" w:rsidRPr="00BE1D3B">
        <w:rPr>
          <w:szCs w:val="24"/>
        </w:rPr>
        <w:t>295</w:t>
      </w:r>
      <w:r w:rsidRPr="00BE1D3B">
        <w:rPr>
          <w:szCs w:val="24"/>
        </w:rPr>
        <w:t xml:space="preserve"> useable </w:t>
      </w:r>
      <w:r w:rsidR="00396176" w:rsidRPr="00BE1D3B">
        <w:rPr>
          <w:szCs w:val="24"/>
        </w:rPr>
        <w:t>employee-supervisor</w:t>
      </w:r>
      <w:r w:rsidRPr="00BE1D3B">
        <w:rPr>
          <w:szCs w:val="24"/>
        </w:rPr>
        <w:t xml:space="preserve"> nominations, of which </w:t>
      </w:r>
      <w:r w:rsidR="00396176" w:rsidRPr="00BE1D3B">
        <w:rPr>
          <w:szCs w:val="24"/>
        </w:rPr>
        <w:t>277</w:t>
      </w:r>
      <w:r w:rsidRPr="00BE1D3B">
        <w:rPr>
          <w:szCs w:val="24"/>
        </w:rPr>
        <w:t xml:space="preserve"> </w:t>
      </w:r>
      <w:r w:rsidR="00396176" w:rsidRPr="00BE1D3B">
        <w:rPr>
          <w:szCs w:val="24"/>
        </w:rPr>
        <w:t xml:space="preserve">employees </w:t>
      </w:r>
      <w:r w:rsidRPr="00BE1D3B">
        <w:rPr>
          <w:szCs w:val="24"/>
        </w:rPr>
        <w:t xml:space="preserve">completed a survey at Time 1. </w:t>
      </w:r>
      <w:r w:rsidR="000554F2">
        <w:rPr>
          <w:szCs w:val="24"/>
        </w:rPr>
        <w:t>Among those</w:t>
      </w:r>
      <w:r w:rsidRPr="00BE1D3B">
        <w:rPr>
          <w:szCs w:val="24"/>
        </w:rPr>
        <w:t xml:space="preserve">, </w:t>
      </w:r>
      <w:r w:rsidR="00396176" w:rsidRPr="00BE1D3B">
        <w:rPr>
          <w:szCs w:val="24"/>
        </w:rPr>
        <w:t>271</w:t>
      </w:r>
      <w:r w:rsidRPr="00BE1D3B">
        <w:rPr>
          <w:szCs w:val="24"/>
        </w:rPr>
        <w:t xml:space="preserve"> completed a Time 2 survey. </w:t>
      </w:r>
      <w:r w:rsidR="001A1B2F" w:rsidRPr="00BE1D3B">
        <w:rPr>
          <w:szCs w:val="24"/>
        </w:rPr>
        <w:t>Also,</w:t>
      </w:r>
      <w:r w:rsidR="00396176" w:rsidRPr="00BE1D3B">
        <w:rPr>
          <w:szCs w:val="24"/>
        </w:rPr>
        <w:t xml:space="preserve"> at Time 2, 262 supervisors completed a survey</w:t>
      </w:r>
      <w:r w:rsidR="000554F2">
        <w:rPr>
          <w:szCs w:val="24"/>
        </w:rPr>
        <w:t xml:space="preserve">, resulting in </w:t>
      </w:r>
      <w:r w:rsidR="00F0760A" w:rsidRPr="00BE1D3B">
        <w:rPr>
          <w:szCs w:val="24"/>
        </w:rPr>
        <w:t xml:space="preserve">248 matched employee-supervisor dyads across the two time periods. As in Study 1, we removed four cases </w:t>
      </w:r>
      <w:r w:rsidR="00AC1286">
        <w:rPr>
          <w:szCs w:val="24"/>
        </w:rPr>
        <w:t>of</w:t>
      </w:r>
      <w:r w:rsidR="00F0760A" w:rsidRPr="00BE1D3B">
        <w:rPr>
          <w:szCs w:val="24"/>
        </w:rPr>
        <w:t xml:space="preserve"> careless responders (Meade &amp; Craig, 2012), resulting in a final sample of 244 matched employee-supervisor dyads</w:t>
      </w:r>
      <w:r w:rsidR="00BE1D3B" w:rsidRPr="00BE1D3B">
        <w:rPr>
          <w:szCs w:val="24"/>
        </w:rPr>
        <w:t xml:space="preserve">. </w:t>
      </w:r>
    </w:p>
    <w:p w14:paraId="0D8D8DA4" w14:textId="03A67DDE" w:rsidR="00BA23A0" w:rsidRPr="00BA23A0" w:rsidRDefault="00BA23A0" w:rsidP="00BA23A0">
      <w:pPr>
        <w:spacing w:line="480" w:lineRule="auto"/>
        <w:ind w:firstLine="720"/>
        <w:rPr>
          <w:highlight w:val="yellow"/>
        </w:rPr>
      </w:pPr>
      <w:r w:rsidRPr="000C083C">
        <w:rPr>
          <w:szCs w:val="24"/>
        </w:rPr>
        <w:t xml:space="preserve">Of the </w:t>
      </w:r>
      <w:r w:rsidR="006E30C2" w:rsidRPr="000C083C">
        <w:rPr>
          <w:szCs w:val="24"/>
        </w:rPr>
        <w:t>244</w:t>
      </w:r>
      <w:r w:rsidRPr="000C083C">
        <w:rPr>
          <w:szCs w:val="24"/>
        </w:rPr>
        <w:t xml:space="preserve"> employees, </w:t>
      </w:r>
      <w:r w:rsidR="006E30C2" w:rsidRPr="000C083C">
        <w:rPr>
          <w:szCs w:val="24"/>
        </w:rPr>
        <w:t>68.9</w:t>
      </w:r>
      <w:r w:rsidRPr="000C083C">
        <w:rPr>
          <w:szCs w:val="24"/>
        </w:rPr>
        <w:t xml:space="preserve">% were female and </w:t>
      </w:r>
      <w:r w:rsidR="006E30C2" w:rsidRPr="000C083C">
        <w:rPr>
          <w:szCs w:val="24"/>
        </w:rPr>
        <w:t>91.0</w:t>
      </w:r>
      <w:r w:rsidRPr="000C083C">
        <w:rPr>
          <w:szCs w:val="24"/>
        </w:rPr>
        <w:t xml:space="preserve">% reported working full-time (more than 30 hours per week). Among </w:t>
      </w:r>
      <w:r w:rsidR="006E30C2" w:rsidRPr="000C083C">
        <w:rPr>
          <w:szCs w:val="24"/>
        </w:rPr>
        <w:t>them</w:t>
      </w:r>
      <w:r w:rsidRPr="000C083C">
        <w:rPr>
          <w:szCs w:val="24"/>
        </w:rPr>
        <w:t xml:space="preserve">, </w:t>
      </w:r>
      <w:r w:rsidR="006E30C2" w:rsidRPr="000C083C">
        <w:rPr>
          <w:szCs w:val="24"/>
        </w:rPr>
        <w:t>77</w:t>
      </w:r>
      <w:r w:rsidRPr="000C083C">
        <w:rPr>
          <w:szCs w:val="24"/>
        </w:rPr>
        <w:t xml:space="preserve">% were Caucasian, </w:t>
      </w:r>
      <w:r w:rsidR="006E30C2" w:rsidRPr="000C083C">
        <w:rPr>
          <w:szCs w:val="24"/>
        </w:rPr>
        <w:t>8.2</w:t>
      </w:r>
      <w:r w:rsidRPr="000C083C">
        <w:rPr>
          <w:szCs w:val="24"/>
        </w:rPr>
        <w:t xml:space="preserve">% African American, </w:t>
      </w:r>
      <w:r w:rsidR="006E30C2" w:rsidRPr="000C083C">
        <w:rPr>
          <w:szCs w:val="24"/>
        </w:rPr>
        <w:t>6</w:t>
      </w:r>
      <w:r w:rsidRPr="000C083C">
        <w:rPr>
          <w:szCs w:val="24"/>
        </w:rPr>
        <w:t xml:space="preserve">.6% Hispanic, </w:t>
      </w:r>
      <w:r w:rsidR="006E30C2" w:rsidRPr="000C083C">
        <w:rPr>
          <w:szCs w:val="24"/>
        </w:rPr>
        <w:t>6.6</w:t>
      </w:r>
      <w:r w:rsidRPr="000C083C">
        <w:rPr>
          <w:szCs w:val="24"/>
        </w:rPr>
        <w:t>% Asian, and 1.</w:t>
      </w:r>
      <w:r w:rsidR="006E30C2" w:rsidRPr="000C083C">
        <w:rPr>
          <w:szCs w:val="24"/>
        </w:rPr>
        <w:t>6</w:t>
      </w:r>
      <w:r w:rsidRPr="000C083C">
        <w:rPr>
          <w:szCs w:val="24"/>
        </w:rPr>
        <w:t xml:space="preserve">% selected “other.” The </w:t>
      </w:r>
      <w:r w:rsidR="006E30C2" w:rsidRPr="000C083C">
        <w:rPr>
          <w:szCs w:val="24"/>
        </w:rPr>
        <w:t>a</w:t>
      </w:r>
      <w:r w:rsidRPr="000C083C">
        <w:rPr>
          <w:szCs w:val="24"/>
        </w:rPr>
        <w:t>verage age</w:t>
      </w:r>
      <w:r w:rsidR="006E30C2" w:rsidRPr="000C083C">
        <w:rPr>
          <w:szCs w:val="24"/>
        </w:rPr>
        <w:t xml:space="preserve"> of employees</w:t>
      </w:r>
      <w:r w:rsidRPr="000C083C">
        <w:rPr>
          <w:szCs w:val="24"/>
        </w:rPr>
        <w:t xml:space="preserve"> was </w:t>
      </w:r>
      <w:r w:rsidR="006E30C2" w:rsidRPr="000C083C">
        <w:rPr>
          <w:szCs w:val="24"/>
        </w:rPr>
        <w:t>41.38</w:t>
      </w:r>
      <w:r w:rsidRPr="000C083C">
        <w:rPr>
          <w:szCs w:val="24"/>
        </w:rPr>
        <w:t xml:space="preserve"> years (</w:t>
      </w:r>
      <w:r w:rsidRPr="000C083C">
        <w:rPr>
          <w:i/>
          <w:szCs w:val="24"/>
        </w:rPr>
        <w:t>SD</w:t>
      </w:r>
      <w:r w:rsidRPr="000C083C">
        <w:rPr>
          <w:szCs w:val="24"/>
        </w:rPr>
        <w:t xml:space="preserve"> = 1</w:t>
      </w:r>
      <w:r w:rsidR="006E30C2" w:rsidRPr="000C083C">
        <w:rPr>
          <w:szCs w:val="24"/>
        </w:rPr>
        <w:t>2.34</w:t>
      </w:r>
      <w:r w:rsidRPr="000C083C">
        <w:rPr>
          <w:szCs w:val="24"/>
        </w:rPr>
        <w:t xml:space="preserve">) and </w:t>
      </w:r>
      <w:r w:rsidR="006E30C2" w:rsidRPr="000C083C">
        <w:rPr>
          <w:szCs w:val="24"/>
        </w:rPr>
        <w:t>the</w:t>
      </w:r>
      <w:r w:rsidRPr="000C083C">
        <w:rPr>
          <w:szCs w:val="24"/>
        </w:rPr>
        <w:t xml:space="preserve"> average organizational tenure was </w:t>
      </w:r>
      <w:r w:rsidR="006E30C2" w:rsidRPr="000C083C">
        <w:rPr>
          <w:szCs w:val="24"/>
        </w:rPr>
        <w:t>8.11</w:t>
      </w:r>
      <w:r w:rsidRPr="000C083C">
        <w:rPr>
          <w:szCs w:val="24"/>
        </w:rPr>
        <w:t xml:space="preserve"> years (</w:t>
      </w:r>
      <w:r w:rsidRPr="000C083C">
        <w:rPr>
          <w:i/>
          <w:szCs w:val="24"/>
        </w:rPr>
        <w:t>SD</w:t>
      </w:r>
      <w:r w:rsidRPr="000C083C">
        <w:rPr>
          <w:szCs w:val="24"/>
        </w:rPr>
        <w:t xml:space="preserve"> = </w:t>
      </w:r>
      <w:r w:rsidR="006E30C2" w:rsidRPr="000C083C">
        <w:rPr>
          <w:szCs w:val="24"/>
        </w:rPr>
        <w:t>8.23</w:t>
      </w:r>
      <w:r w:rsidRPr="000C083C">
        <w:rPr>
          <w:szCs w:val="24"/>
        </w:rPr>
        <w:t>). Employees</w:t>
      </w:r>
      <w:r w:rsidR="00DE6F38">
        <w:rPr>
          <w:szCs w:val="24"/>
        </w:rPr>
        <w:t>’</w:t>
      </w:r>
      <w:r w:rsidRPr="000C083C">
        <w:rPr>
          <w:szCs w:val="24"/>
        </w:rPr>
        <w:t xml:space="preserve"> average </w:t>
      </w:r>
      <w:r w:rsidR="006E30C2" w:rsidRPr="000C083C">
        <w:rPr>
          <w:szCs w:val="24"/>
        </w:rPr>
        <w:t>tenure with their direct supervisor was 4.92</w:t>
      </w:r>
      <w:r w:rsidRPr="000C083C">
        <w:rPr>
          <w:szCs w:val="24"/>
        </w:rPr>
        <w:t xml:space="preserve"> years (</w:t>
      </w:r>
      <w:r w:rsidRPr="000C083C">
        <w:rPr>
          <w:i/>
          <w:szCs w:val="24"/>
        </w:rPr>
        <w:t>SD</w:t>
      </w:r>
      <w:r w:rsidRPr="000C083C">
        <w:rPr>
          <w:szCs w:val="24"/>
        </w:rPr>
        <w:t xml:space="preserve"> = </w:t>
      </w:r>
      <w:r w:rsidR="006E30C2" w:rsidRPr="000C083C">
        <w:rPr>
          <w:szCs w:val="24"/>
        </w:rPr>
        <w:t>5.22</w:t>
      </w:r>
      <w:r w:rsidRPr="000C083C">
        <w:rPr>
          <w:szCs w:val="24"/>
        </w:rPr>
        <w:t>).</w:t>
      </w:r>
      <w:r w:rsidR="002B1411">
        <w:rPr>
          <w:szCs w:val="24"/>
        </w:rPr>
        <w:t xml:space="preserve"> </w:t>
      </w:r>
      <w:r w:rsidRPr="000C083C">
        <w:rPr>
          <w:szCs w:val="24"/>
        </w:rPr>
        <w:t xml:space="preserve">Of the </w:t>
      </w:r>
      <w:r w:rsidR="006E30C2" w:rsidRPr="000C083C">
        <w:rPr>
          <w:szCs w:val="24"/>
        </w:rPr>
        <w:t>244</w:t>
      </w:r>
      <w:r w:rsidRPr="000C083C">
        <w:rPr>
          <w:szCs w:val="24"/>
        </w:rPr>
        <w:t xml:space="preserve"> supervisor</w:t>
      </w:r>
      <w:r w:rsidR="006E30C2" w:rsidRPr="000C083C">
        <w:rPr>
          <w:szCs w:val="24"/>
        </w:rPr>
        <w:t>s</w:t>
      </w:r>
      <w:r w:rsidRPr="000C083C">
        <w:rPr>
          <w:szCs w:val="24"/>
        </w:rPr>
        <w:t>, 5</w:t>
      </w:r>
      <w:r w:rsidR="006E30C2" w:rsidRPr="000C083C">
        <w:rPr>
          <w:szCs w:val="24"/>
        </w:rPr>
        <w:t>2</w:t>
      </w:r>
      <w:r w:rsidRPr="000C083C">
        <w:rPr>
          <w:szCs w:val="24"/>
        </w:rPr>
        <w:t xml:space="preserve">% were male, while </w:t>
      </w:r>
      <w:r w:rsidR="006E30C2" w:rsidRPr="000C083C">
        <w:rPr>
          <w:szCs w:val="24"/>
        </w:rPr>
        <w:t>81.9</w:t>
      </w:r>
      <w:r w:rsidRPr="000C083C">
        <w:rPr>
          <w:szCs w:val="24"/>
        </w:rPr>
        <w:t xml:space="preserve">% were Caucasian, </w:t>
      </w:r>
      <w:r w:rsidR="006E30C2" w:rsidRPr="000C083C">
        <w:rPr>
          <w:szCs w:val="24"/>
        </w:rPr>
        <w:t>5.6% Asian, 5.2% Hispanic, 4.3</w:t>
      </w:r>
      <w:r w:rsidRPr="000C083C">
        <w:rPr>
          <w:szCs w:val="24"/>
        </w:rPr>
        <w:t>% African American,</w:t>
      </w:r>
      <w:r w:rsidR="006E30C2" w:rsidRPr="000C083C">
        <w:rPr>
          <w:szCs w:val="24"/>
        </w:rPr>
        <w:t xml:space="preserve"> </w:t>
      </w:r>
      <w:r w:rsidRPr="000C083C">
        <w:rPr>
          <w:szCs w:val="24"/>
        </w:rPr>
        <w:t xml:space="preserve">and </w:t>
      </w:r>
      <w:r w:rsidR="006E30C2" w:rsidRPr="000C083C">
        <w:rPr>
          <w:szCs w:val="24"/>
        </w:rPr>
        <w:t>3</w:t>
      </w:r>
      <w:r w:rsidRPr="000C083C">
        <w:rPr>
          <w:szCs w:val="24"/>
        </w:rPr>
        <w:t xml:space="preserve">% selected “other.” </w:t>
      </w:r>
      <w:r w:rsidR="006E30C2" w:rsidRPr="000C083C">
        <w:rPr>
          <w:szCs w:val="24"/>
        </w:rPr>
        <w:t>Supervisors’ average age was</w:t>
      </w:r>
      <w:r w:rsidRPr="000C083C">
        <w:rPr>
          <w:szCs w:val="24"/>
        </w:rPr>
        <w:t xml:space="preserve"> </w:t>
      </w:r>
      <w:r w:rsidR="006E30C2" w:rsidRPr="000C083C">
        <w:rPr>
          <w:szCs w:val="24"/>
        </w:rPr>
        <w:t>48.25</w:t>
      </w:r>
      <w:r w:rsidRPr="000C083C">
        <w:rPr>
          <w:szCs w:val="24"/>
        </w:rPr>
        <w:t xml:space="preserve"> years (</w:t>
      </w:r>
      <w:r w:rsidRPr="000C083C">
        <w:rPr>
          <w:i/>
          <w:szCs w:val="24"/>
        </w:rPr>
        <w:t>SD</w:t>
      </w:r>
      <w:r w:rsidRPr="000C083C">
        <w:rPr>
          <w:szCs w:val="24"/>
        </w:rPr>
        <w:t xml:space="preserve"> = 11.</w:t>
      </w:r>
      <w:r w:rsidR="006E30C2" w:rsidRPr="000C083C">
        <w:rPr>
          <w:szCs w:val="24"/>
        </w:rPr>
        <w:t>08</w:t>
      </w:r>
      <w:r w:rsidRPr="000C083C">
        <w:rPr>
          <w:szCs w:val="24"/>
        </w:rPr>
        <w:t>)</w:t>
      </w:r>
      <w:r w:rsidR="00AC1286">
        <w:rPr>
          <w:szCs w:val="24"/>
        </w:rPr>
        <w:t xml:space="preserve"> </w:t>
      </w:r>
      <w:r w:rsidRPr="000C083C">
        <w:rPr>
          <w:szCs w:val="24"/>
        </w:rPr>
        <w:t xml:space="preserve">and </w:t>
      </w:r>
      <w:r w:rsidR="00AC1286">
        <w:rPr>
          <w:szCs w:val="24"/>
        </w:rPr>
        <w:t xml:space="preserve">their </w:t>
      </w:r>
      <w:r w:rsidR="005E2E8C">
        <w:rPr>
          <w:szCs w:val="24"/>
        </w:rPr>
        <w:t xml:space="preserve">average </w:t>
      </w:r>
      <w:r w:rsidRPr="000C083C">
        <w:rPr>
          <w:szCs w:val="24"/>
        </w:rPr>
        <w:t xml:space="preserve">organizational tenure </w:t>
      </w:r>
      <w:r w:rsidR="000C083C" w:rsidRPr="000C083C">
        <w:rPr>
          <w:szCs w:val="24"/>
        </w:rPr>
        <w:t>was</w:t>
      </w:r>
      <w:r w:rsidRPr="000C083C">
        <w:rPr>
          <w:szCs w:val="24"/>
        </w:rPr>
        <w:t xml:space="preserve"> 13.8</w:t>
      </w:r>
      <w:r w:rsidR="000C083C" w:rsidRPr="000C083C">
        <w:rPr>
          <w:szCs w:val="24"/>
        </w:rPr>
        <w:t>1</w:t>
      </w:r>
      <w:r w:rsidRPr="000C083C">
        <w:rPr>
          <w:szCs w:val="24"/>
        </w:rPr>
        <w:t xml:space="preserve"> years (</w:t>
      </w:r>
      <w:r w:rsidRPr="000C083C">
        <w:rPr>
          <w:i/>
          <w:szCs w:val="24"/>
        </w:rPr>
        <w:t>SD</w:t>
      </w:r>
      <w:r w:rsidRPr="000C083C">
        <w:rPr>
          <w:szCs w:val="24"/>
        </w:rPr>
        <w:t xml:space="preserve"> = </w:t>
      </w:r>
      <w:r w:rsidR="000C083C" w:rsidRPr="000C083C">
        <w:rPr>
          <w:szCs w:val="24"/>
        </w:rPr>
        <w:t>9.71</w:t>
      </w:r>
      <w:r w:rsidRPr="000C083C">
        <w:rPr>
          <w:szCs w:val="24"/>
        </w:rPr>
        <w:t>).</w:t>
      </w:r>
      <w:r w:rsidRPr="00BA23A0">
        <w:rPr>
          <w:highlight w:val="yellow"/>
        </w:rPr>
        <w:t xml:space="preserve"> </w:t>
      </w:r>
    </w:p>
    <w:p w14:paraId="0A7F7FE8" w14:textId="77777777" w:rsidR="00BA23A0" w:rsidRPr="000C083C" w:rsidRDefault="00BA23A0" w:rsidP="00BA23A0">
      <w:pPr>
        <w:spacing w:line="480" w:lineRule="auto"/>
        <w:rPr>
          <w:i/>
          <w:szCs w:val="24"/>
        </w:rPr>
      </w:pPr>
      <w:r w:rsidRPr="000C083C">
        <w:rPr>
          <w:i/>
        </w:rPr>
        <w:t>Measures</w:t>
      </w:r>
    </w:p>
    <w:p w14:paraId="585AAB04" w14:textId="2622C597" w:rsidR="000C083C" w:rsidRPr="00BA23A0" w:rsidRDefault="000C083C" w:rsidP="000C083C">
      <w:pPr>
        <w:spacing w:line="480" w:lineRule="auto"/>
        <w:ind w:firstLine="720"/>
      </w:pPr>
      <w:r w:rsidRPr="000C083C">
        <w:rPr>
          <w:szCs w:val="24"/>
        </w:rPr>
        <w:lastRenderedPageBreak/>
        <w:t>Employees rated their supervisors’ BLM and their own BLM at Time 1 and their perceptions of LM</w:t>
      </w:r>
      <w:r w:rsidR="00662F3B">
        <w:rPr>
          <w:szCs w:val="24"/>
        </w:rPr>
        <w:t>S</w:t>
      </w:r>
      <w:r w:rsidRPr="000C083C">
        <w:rPr>
          <w:szCs w:val="24"/>
        </w:rPr>
        <w:t xml:space="preserve">X at Time 2. Supervisors rated their employees’ task performance at Time 2. Supervisor BLM </w:t>
      </w:r>
      <w:r w:rsidRPr="000C083C">
        <w:t>(</w:t>
      </w:r>
      <w:r w:rsidRPr="000C083C">
        <w:rPr>
          <w:i/>
        </w:rPr>
        <w:t>α</w:t>
      </w:r>
      <w:r w:rsidRPr="000C083C">
        <w:t xml:space="preserve"> = .83), employee BLM (</w:t>
      </w:r>
      <w:r w:rsidRPr="000C083C">
        <w:rPr>
          <w:i/>
        </w:rPr>
        <w:t>α</w:t>
      </w:r>
      <w:r w:rsidRPr="000C083C">
        <w:t xml:space="preserve"> = .77), and task performance (</w:t>
      </w:r>
      <w:r w:rsidRPr="000C083C">
        <w:rPr>
          <w:i/>
        </w:rPr>
        <w:t>α</w:t>
      </w:r>
      <w:r w:rsidRPr="000C083C">
        <w:t xml:space="preserve"> = .91) were measured using the same items and </w:t>
      </w:r>
      <w:r w:rsidR="00AE2CDC">
        <w:t xml:space="preserve">seven-point </w:t>
      </w:r>
      <w:r w:rsidRPr="000C083C">
        <w:t xml:space="preserve">scale anchors as in Study 1. </w:t>
      </w:r>
    </w:p>
    <w:p w14:paraId="4A6FCD64" w14:textId="25376A44" w:rsidR="00BA23A0" w:rsidRPr="00607ABE" w:rsidRDefault="00BA23A0" w:rsidP="00BA23A0">
      <w:pPr>
        <w:spacing w:line="480" w:lineRule="auto"/>
        <w:ind w:firstLine="720"/>
        <w:rPr>
          <w:szCs w:val="24"/>
        </w:rPr>
      </w:pPr>
      <w:r w:rsidRPr="00607ABE">
        <w:rPr>
          <w:i/>
          <w:szCs w:val="24"/>
        </w:rPr>
        <w:t>LM</w:t>
      </w:r>
      <w:r w:rsidR="00662F3B">
        <w:rPr>
          <w:i/>
          <w:szCs w:val="24"/>
        </w:rPr>
        <w:t>S</w:t>
      </w:r>
      <w:r w:rsidRPr="00607ABE">
        <w:rPr>
          <w:i/>
          <w:szCs w:val="24"/>
        </w:rPr>
        <w:t>X.</w:t>
      </w:r>
      <w:r w:rsidRPr="00607ABE">
        <w:rPr>
          <w:szCs w:val="24"/>
        </w:rPr>
        <w:t xml:space="preserve"> </w:t>
      </w:r>
      <w:r w:rsidR="00FF28F6" w:rsidRPr="00607ABE">
        <w:rPr>
          <w:szCs w:val="24"/>
        </w:rPr>
        <w:t>To demonstrate the robustness of our model</w:t>
      </w:r>
      <w:r w:rsidR="005E2E8C">
        <w:rPr>
          <w:szCs w:val="24"/>
        </w:rPr>
        <w:t>,</w:t>
      </w:r>
      <w:r w:rsidR="00FF28F6" w:rsidRPr="00607ABE">
        <w:rPr>
          <w:szCs w:val="24"/>
        </w:rPr>
        <w:t xml:space="preserve"> </w:t>
      </w:r>
      <w:r w:rsidR="00607ABE" w:rsidRPr="00607ABE">
        <w:rPr>
          <w:szCs w:val="24"/>
        </w:rPr>
        <w:t xml:space="preserve">we measured LMX using a measure focused more specifically on the </w:t>
      </w:r>
      <w:r w:rsidR="005E2E8C">
        <w:rPr>
          <w:szCs w:val="24"/>
        </w:rPr>
        <w:t xml:space="preserve">social </w:t>
      </w:r>
      <w:r w:rsidR="00607ABE" w:rsidRPr="00607ABE">
        <w:rPr>
          <w:szCs w:val="24"/>
        </w:rPr>
        <w:t xml:space="preserve">exchange aspect of the </w:t>
      </w:r>
      <w:r w:rsidR="00375834">
        <w:rPr>
          <w:szCs w:val="24"/>
        </w:rPr>
        <w:t>supervisor-employee</w:t>
      </w:r>
      <w:r w:rsidR="005E2E8C">
        <w:rPr>
          <w:szCs w:val="24"/>
        </w:rPr>
        <w:t xml:space="preserve"> </w:t>
      </w:r>
      <w:r w:rsidR="00607ABE" w:rsidRPr="00607ABE">
        <w:rPr>
          <w:szCs w:val="24"/>
        </w:rPr>
        <w:t>relationship. Employees rated LMSX using an eight-item scale (Bernerth</w:t>
      </w:r>
      <w:r w:rsidR="009A743D">
        <w:rPr>
          <w:szCs w:val="24"/>
        </w:rPr>
        <w:t xml:space="preserve"> et al.</w:t>
      </w:r>
      <w:r w:rsidR="00607ABE" w:rsidRPr="00607ABE">
        <w:rPr>
          <w:szCs w:val="24"/>
        </w:rPr>
        <w:t>, 2007</w:t>
      </w:r>
      <w:r w:rsidR="002B1411">
        <w:rPr>
          <w:szCs w:val="24"/>
        </w:rPr>
        <w:t xml:space="preserve">; </w:t>
      </w:r>
      <w:r w:rsidRPr="00607ABE">
        <w:rPr>
          <w:i/>
          <w:szCs w:val="24"/>
        </w:rPr>
        <w:t>α</w:t>
      </w:r>
      <w:r w:rsidRPr="00607ABE">
        <w:rPr>
          <w:szCs w:val="24"/>
        </w:rPr>
        <w:t xml:space="preserve"> = .</w:t>
      </w:r>
      <w:r w:rsidR="00607ABE" w:rsidRPr="00607ABE">
        <w:rPr>
          <w:szCs w:val="24"/>
        </w:rPr>
        <w:t>93</w:t>
      </w:r>
      <w:r w:rsidRPr="00607ABE">
        <w:rPr>
          <w:szCs w:val="24"/>
        </w:rPr>
        <w:t xml:space="preserve">). </w:t>
      </w:r>
      <w:r w:rsidR="002B1411">
        <w:rPr>
          <w:szCs w:val="24"/>
        </w:rPr>
        <w:t xml:space="preserve">This measure differs from the Liden and Maslyn (1998) measure by focusing specifically on the exchange process of the relationship between employees and supervisors. </w:t>
      </w:r>
    </w:p>
    <w:p w14:paraId="036E694F" w14:textId="555C52ED" w:rsidR="00BA23A0" w:rsidRPr="005A4A69" w:rsidRDefault="005A4A69" w:rsidP="00BA23A0">
      <w:pPr>
        <w:spacing w:line="480" w:lineRule="auto"/>
        <w:jc w:val="center"/>
        <w:rPr>
          <w:szCs w:val="24"/>
        </w:rPr>
      </w:pPr>
      <w:r>
        <w:rPr>
          <w:szCs w:val="24"/>
        </w:rPr>
        <w:t xml:space="preserve">Study 2 </w:t>
      </w:r>
      <w:r w:rsidR="00BA23A0" w:rsidRPr="005A4A69">
        <w:rPr>
          <w:szCs w:val="24"/>
        </w:rPr>
        <w:t>Results</w:t>
      </w:r>
    </w:p>
    <w:p w14:paraId="24979BBD" w14:textId="59F48A85" w:rsidR="00886933" w:rsidRDefault="00910BA3" w:rsidP="00BA23A0">
      <w:pPr>
        <w:spacing w:line="480" w:lineRule="auto"/>
        <w:ind w:firstLine="720"/>
        <w:rPr>
          <w:szCs w:val="24"/>
        </w:rPr>
      </w:pPr>
      <w:r w:rsidRPr="005A4A69">
        <w:rPr>
          <w:szCs w:val="24"/>
        </w:rPr>
        <w:t xml:space="preserve">The means, standard deviations, and correlations for the study’s variables are reported in Table </w:t>
      </w:r>
      <w:r w:rsidR="00A6493D">
        <w:rPr>
          <w:szCs w:val="24"/>
        </w:rPr>
        <w:t>4</w:t>
      </w:r>
      <w:r w:rsidRPr="005A4A69">
        <w:rPr>
          <w:szCs w:val="24"/>
        </w:rPr>
        <w:t xml:space="preserve">. </w:t>
      </w:r>
      <w:bookmarkStart w:id="4" w:name="_Hlk532989824"/>
      <w:r w:rsidR="00886933" w:rsidRPr="00400A90">
        <w:rPr>
          <w:szCs w:val="24"/>
        </w:rPr>
        <w:t>As in Study 1, we conducted CFAs</w:t>
      </w:r>
      <w:r>
        <w:rPr>
          <w:szCs w:val="24"/>
        </w:rPr>
        <w:t xml:space="preserve"> </w:t>
      </w:r>
      <w:r w:rsidR="00886933" w:rsidRPr="00400A90">
        <w:rPr>
          <w:szCs w:val="24"/>
        </w:rPr>
        <w:t>to compare the expected four-factor model with a three-factor model in which employee BLM and supervisor BLM were loaded on one factor, a two-factor model in which employee BLM and supervisor BLM and LM</w:t>
      </w:r>
      <w:r w:rsidR="003F517A">
        <w:rPr>
          <w:szCs w:val="24"/>
        </w:rPr>
        <w:t>S</w:t>
      </w:r>
      <w:r w:rsidR="00886933" w:rsidRPr="00400A90">
        <w:rPr>
          <w:szCs w:val="24"/>
        </w:rPr>
        <w:t xml:space="preserve">X were loaded on one factor, and a single-factor model in which all items were loaded onto a single factor. </w:t>
      </w:r>
      <w:r w:rsidR="003F517A">
        <w:rPr>
          <w:szCs w:val="24"/>
        </w:rPr>
        <w:t xml:space="preserve">As was done in Study 1, randomly created parcels were used for LMSX. </w:t>
      </w:r>
      <w:r w:rsidR="00886933" w:rsidRPr="00400A90">
        <w:rPr>
          <w:szCs w:val="24"/>
        </w:rPr>
        <w:t>Results from a series of chi-square tests showed the four-factor model</w:t>
      </w:r>
      <w:r w:rsidR="0024580F">
        <w:rPr>
          <w:szCs w:val="24"/>
        </w:rPr>
        <w:t xml:space="preserve"> </w:t>
      </w:r>
      <w:r w:rsidR="00886933" w:rsidRPr="00400A90">
        <w:rPr>
          <w:szCs w:val="24"/>
        </w:rPr>
        <w:t>(</w:t>
      </w:r>
      <w:r w:rsidR="00886933" w:rsidRPr="00400A90">
        <w:rPr>
          <w:i/>
          <w:iCs/>
          <w:szCs w:val="24"/>
        </w:rPr>
        <w:t>χ</w:t>
      </w:r>
      <w:r w:rsidR="00886933" w:rsidRPr="00400A90">
        <w:rPr>
          <w:i/>
          <w:iCs/>
          <w:szCs w:val="24"/>
          <w:vertAlign w:val="superscript"/>
        </w:rPr>
        <w:t>2</w:t>
      </w:r>
      <w:r w:rsidR="00886933" w:rsidRPr="00400A90">
        <w:rPr>
          <w:szCs w:val="24"/>
        </w:rPr>
        <w:t xml:space="preserve"> (129) = 557.25; CFI = .87, RMSEA = .12, SRMR = .07)</w:t>
      </w:r>
      <w:r w:rsidR="00F403A6">
        <w:rPr>
          <w:szCs w:val="24"/>
        </w:rPr>
        <w:t>,</w:t>
      </w:r>
      <w:r w:rsidR="00886933" w:rsidRPr="00400A90">
        <w:rPr>
          <w:szCs w:val="24"/>
        </w:rPr>
        <w:t xml:space="preserve"> fit the data better than the three-factor (∆</w:t>
      </w:r>
      <w:r w:rsidR="00886933" w:rsidRPr="00400A90">
        <w:rPr>
          <w:i/>
          <w:iCs/>
          <w:szCs w:val="24"/>
        </w:rPr>
        <w:t>χ</w:t>
      </w:r>
      <w:r w:rsidR="00886933" w:rsidRPr="00400A90">
        <w:rPr>
          <w:i/>
          <w:iCs/>
          <w:szCs w:val="24"/>
          <w:vertAlign w:val="superscript"/>
        </w:rPr>
        <w:t>2</w:t>
      </w:r>
      <w:r w:rsidR="00886933" w:rsidRPr="00400A90">
        <w:rPr>
          <w:szCs w:val="24"/>
        </w:rPr>
        <w:t xml:space="preserve"> = 54.21, ∆</w:t>
      </w:r>
      <w:r w:rsidR="00886933" w:rsidRPr="00400A90">
        <w:rPr>
          <w:i/>
          <w:szCs w:val="24"/>
          <w:vertAlign w:val="subscript"/>
        </w:rPr>
        <w:t>df</w:t>
      </w:r>
      <w:r w:rsidR="00886933" w:rsidRPr="00400A90">
        <w:rPr>
          <w:szCs w:val="24"/>
        </w:rPr>
        <w:t xml:space="preserve"> = 3, </w:t>
      </w:r>
      <w:r w:rsidR="00886933" w:rsidRPr="00400A90">
        <w:rPr>
          <w:i/>
          <w:szCs w:val="24"/>
        </w:rPr>
        <w:t>p</w:t>
      </w:r>
      <w:r w:rsidR="00886933" w:rsidRPr="00400A90">
        <w:rPr>
          <w:szCs w:val="24"/>
        </w:rPr>
        <w:t xml:space="preserve"> </w:t>
      </w:r>
      <w:r w:rsidR="00A6493D">
        <w:rPr>
          <w:szCs w:val="24"/>
        </w:rPr>
        <w:t>&lt;</w:t>
      </w:r>
      <w:r w:rsidR="00531B29">
        <w:rPr>
          <w:szCs w:val="24"/>
        </w:rPr>
        <w:t xml:space="preserve"> .01</w:t>
      </w:r>
      <w:r w:rsidR="00886933" w:rsidRPr="00400A90">
        <w:rPr>
          <w:szCs w:val="24"/>
        </w:rPr>
        <w:t>), two-factor (∆</w:t>
      </w:r>
      <w:r w:rsidR="00886933" w:rsidRPr="00400A90">
        <w:rPr>
          <w:i/>
          <w:iCs/>
          <w:szCs w:val="24"/>
        </w:rPr>
        <w:t>χ</w:t>
      </w:r>
      <w:r w:rsidR="00886933" w:rsidRPr="00400A90">
        <w:rPr>
          <w:i/>
          <w:iCs/>
          <w:szCs w:val="24"/>
          <w:vertAlign w:val="superscript"/>
        </w:rPr>
        <w:t>2</w:t>
      </w:r>
      <w:r w:rsidR="00886933" w:rsidRPr="00400A90">
        <w:rPr>
          <w:szCs w:val="24"/>
        </w:rPr>
        <w:t xml:space="preserve"> = 945.39, ∆</w:t>
      </w:r>
      <w:r w:rsidR="00886933" w:rsidRPr="00400A90">
        <w:rPr>
          <w:i/>
          <w:szCs w:val="24"/>
          <w:vertAlign w:val="subscript"/>
        </w:rPr>
        <w:t>df</w:t>
      </w:r>
      <w:r w:rsidR="00886933" w:rsidRPr="00400A90">
        <w:rPr>
          <w:szCs w:val="24"/>
        </w:rPr>
        <w:t xml:space="preserve"> = 5; </w:t>
      </w:r>
      <w:r w:rsidR="00886933" w:rsidRPr="00400A90">
        <w:rPr>
          <w:i/>
          <w:szCs w:val="24"/>
        </w:rPr>
        <w:t xml:space="preserve">p </w:t>
      </w:r>
      <w:r w:rsidR="00A6493D">
        <w:rPr>
          <w:i/>
          <w:szCs w:val="24"/>
        </w:rPr>
        <w:t>&lt;</w:t>
      </w:r>
      <w:r w:rsidR="00531B29">
        <w:rPr>
          <w:szCs w:val="24"/>
        </w:rPr>
        <w:t xml:space="preserve"> .01</w:t>
      </w:r>
      <w:r w:rsidR="00886933" w:rsidRPr="00400A90">
        <w:rPr>
          <w:szCs w:val="24"/>
        </w:rPr>
        <w:t>) and single-factor models (∆</w:t>
      </w:r>
      <w:r w:rsidR="00886933" w:rsidRPr="00400A90">
        <w:rPr>
          <w:i/>
          <w:iCs/>
          <w:szCs w:val="24"/>
        </w:rPr>
        <w:t>χ</w:t>
      </w:r>
      <w:r w:rsidR="00886933" w:rsidRPr="00400A90">
        <w:rPr>
          <w:i/>
          <w:iCs/>
          <w:szCs w:val="24"/>
          <w:vertAlign w:val="superscript"/>
        </w:rPr>
        <w:t>2</w:t>
      </w:r>
      <w:r w:rsidR="00886933" w:rsidRPr="00400A90">
        <w:rPr>
          <w:szCs w:val="24"/>
        </w:rPr>
        <w:t xml:space="preserve"> = 1912.06, ∆</w:t>
      </w:r>
      <w:r w:rsidR="00886933" w:rsidRPr="00400A90">
        <w:rPr>
          <w:i/>
          <w:szCs w:val="24"/>
          <w:vertAlign w:val="subscript"/>
        </w:rPr>
        <w:t>df</w:t>
      </w:r>
      <w:r w:rsidR="00886933" w:rsidRPr="00400A90">
        <w:rPr>
          <w:szCs w:val="24"/>
        </w:rPr>
        <w:t xml:space="preserve"> = 6, p </w:t>
      </w:r>
      <w:r w:rsidR="00A6493D">
        <w:rPr>
          <w:szCs w:val="24"/>
        </w:rPr>
        <w:t>&lt;</w:t>
      </w:r>
      <w:r w:rsidR="00531B29">
        <w:rPr>
          <w:szCs w:val="24"/>
        </w:rPr>
        <w:t xml:space="preserve"> .01</w:t>
      </w:r>
      <w:r w:rsidR="00886933" w:rsidRPr="00400A90">
        <w:rPr>
          <w:szCs w:val="24"/>
        </w:rPr>
        <w:t>), again providing evidence of discriminant validity.</w:t>
      </w:r>
      <w:bookmarkEnd w:id="4"/>
    </w:p>
    <w:p w14:paraId="0521923C" w14:textId="77777777" w:rsidR="00FF39BA" w:rsidRPr="001E01BB" w:rsidRDefault="00FF39BA" w:rsidP="00FF39BA">
      <w:pPr>
        <w:contextualSpacing/>
        <w:jc w:val="center"/>
      </w:pPr>
      <w:r w:rsidRPr="001E01BB">
        <w:t>---------------------------------------</w:t>
      </w:r>
    </w:p>
    <w:p w14:paraId="73F3C263" w14:textId="56790006" w:rsidR="00FF39BA" w:rsidRPr="001E01BB" w:rsidRDefault="00FF39BA" w:rsidP="00FF39BA">
      <w:pPr>
        <w:contextualSpacing/>
        <w:jc w:val="center"/>
        <w:rPr>
          <w:szCs w:val="24"/>
        </w:rPr>
      </w:pPr>
      <w:r w:rsidRPr="001E01BB">
        <w:rPr>
          <w:szCs w:val="24"/>
        </w:rPr>
        <w:t xml:space="preserve">Insert Table </w:t>
      </w:r>
      <w:r w:rsidR="00A6493D">
        <w:rPr>
          <w:szCs w:val="24"/>
        </w:rPr>
        <w:t>4</w:t>
      </w:r>
      <w:r w:rsidRPr="001E01BB">
        <w:rPr>
          <w:szCs w:val="24"/>
        </w:rPr>
        <w:t xml:space="preserve"> about here</w:t>
      </w:r>
    </w:p>
    <w:p w14:paraId="697551D0" w14:textId="77777777" w:rsidR="00FF39BA" w:rsidRPr="001E01BB" w:rsidRDefault="00FF39BA" w:rsidP="00FF39BA">
      <w:pPr>
        <w:spacing w:line="480" w:lineRule="auto"/>
        <w:contextualSpacing/>
        <w:jc w:val="center"/>
        <w:rPr>
          <w:szCs w:val="24"/>
        </w:rPr>
      </w:pPr>
      <w:r w:rsidRPr="001E01BB">
        <w:rPr>
          <w:szCs w:val="24"/>
        </w:rPr>
        <w:t>---------------------------------------</w:t>
      </w:r>
    </w:p>
    <w:p w14:paraId="3DCAA6B5" w14:textId="5235715C" w:rsidR="00BA23A0" w:rsidRPr="005A4A69" w:rsidRDefault="000554F2" w:rsidP="00FF39BA">
      <w:pPr>
        <w:spacing w:line="480" w:lineRule="auto"/>
        <w:ind w:firstLine="720"/>
      </w:pPr>
      <w:r>
        <w:rPr>
          <w:szCs w:val="24"/>
        </w:rPr>
        <w:lastRenderedPageBreak/>
        <w:t xml:space="preserve">As in Study 1, </w:t>
      </w:r>
      <w:r w:rsidR="00607ABE" w:rsidRPr="005A4A69">
        <w:rPr>
          <w:szCs w:val="24"/>
        </w:rPr>
        <w:t xml:space="preserve">Hypotheses 1 and 2 were tested using Hayes’ (2013) PROCESS macro (Model 4) with </w:t>
      </w:r>
      <w:r w:rsidR="00BA23A0" w:rsidRPr="005A4A69">
        <w:rPr>
          <w:szCs w:val="24"/>
        </w:rPr>
        <w:t xml:space="preserve">5,000 bias-corrected bootstrap samples. </w:t>
      </w:r>
      <w:r w:rsidR="00BA23A0" w:rsidRPr="005A4A69">
        <w:t xml:space="preserve">Hypothesis 1 </w:t>
      </w:r>
      <w:r w:rsidR="005A4A69" w:rsidRPr="005A4A69">
        <w:t>i</w:t>
      </w:r>
      <w:r w:rsidR="00607ABE" w:rsidRPr="005A4A69">
        <w:t xml:space="preserve">s supported as </w:t>
      </w:r>
      <w:r w:rsidR="00BA23A0" w:rsidRPr="005A4A69">
        <w:t xml:space="preserve">supervisor BLM </w:t>
      </w:r>
      <w:r w:rsidR="005A4A69" w:rsidRPr="005A4A69">
        <w:t>i</w:t>
      </w:r>
      <w:r w:rsidR="00BA23A0" w:rsidRPr="005A4A69">
        <w:t>s negatively related to employee-rated LM</w:t>
      </w:r>
      <w:r w:rsidR="004F1833" w:rsidRPr="005A4A69">
        <w:t>S</w:t>
      </w:r>
      <w:r w:rsidR="00BA23A0" w:rsidRPr="005A4A69">
        <w:t>X (</w:t>
      </w:r>
      <w:r w:rsidR="00BA23A0" w:rsidRPr="005A4A69">
        <w:rPr>
          <w:i/>
        </w:rPr>
        <w:t>b</w:t>
      </w:r>
      <w:r w:rsidR="00BA23A0" w:rsidRPr="005A4A69">
        <w:t xml:space="preserve"> = -.</w:t>
      </w:r>
      <w:r w:rsidR="00607ABE" w:rsidRPr="005A4A69">
        <w:t>1</w:t>
      </w:r>
      <w:r w:rsidR="00B42572">
        <w:t>6</w:t>
      </w:r>
      <w:r w:rsidR="00BA23A0" w:rsidRPr="005A4A69">
        <w:t xml:space="preserve">, </w:t>
      </w:r>
      <w:r w:rsidR="00BA23A0" w:rsidRPr="005A4A69">
        <w:rPr>
          <w:i/>
        </w:rPr>
        <w:t>p</w:t>
      </w:r>
      <w:r w:rsidR="00BA23A0" w:rsidRPr="005A4A69">
        <w:t xml:space="preserve"> &lt; .01) (see Table </w:t>
      </w:r>
      <w:r w:rsidR="00A6493D">
        <w:t>5</w:t>
      </w:r>
      <w:r w:rsidR="00BA23A0" w:rsidRPr="005A4A69">
        <w:t xml:space="preserve">). </w:t>
      </w:r>
      <w:r w:rsidR="004F1833" w:rsidRPr="005A4A69">
        <w:t xml:space="preserve">Hypothesis 2 </w:t>
      </w:r>
      <w:r w:rsidR="005A4A69" w:rsidRPr="005A4A69">
        <w:t>i</w:t>
      </w:r>
      <w:r w:rsidR="004F1833" w:rsidRPr="005A4A69">
        <w:t>s</w:t>
      </w:r>
      <w:r w:rsidR="00284A8C">
        <w:t xml:space="preserve"> also</w:t>
      </w:r>
      <w:r w:rsidR="004F1833" w:rsidRPr="005A4A69">
        <w:t xml:space="preserve"> supported as</w:t>
      </w:r>
      <w:r w:rsidR="00BA23A0" w:rsidRPr="005A4A69">
        <w:rPr>
          <w:rFonts w:eastAsia="Times New Roman"/>
          <w:szCs w:val="24"/>
        </w:rPr>
        <w:t xml:space="preserve"> the indirect effect between supervisor BLM and task performance</w:t>
      </w:r>
      <w:r w:rsidR="00643968" w:rsidRPr="005A4A69">
        <w:rPr>
          <w:rFonts w:eastAsia="Times New Roman"/>
          <w:szCs w:val="24"/>
        </w:rPr>
        <w:t xml:space="preserve"> through LMSX</w:t>
      </w:r>
      <w:r w:rsidR="00BA23A0" w:rsidRPr="005A4A69">
        <w:rPr>
          <w:rFonts w:eastAsia="Times New Roman"/>
          <w:szCs w:val="24"/>
        </w:rPr>
        <w:t xml:space="preserve"> </w:t>
      </w:r>
      <w:r w:rsidR="005A4A69" w:rsidRPr="005A4A69">
        <w:rPr>
          <w:rFonts w:eastAsia="Times New Roman"/>
          <w:szCs w:val="24"/>
        </w:rPr>
        <w:t>i</w:t>
      </w:r>
      <w:r w:rsidR="00BA23A0" w:rsidRPr="005A4A69">
        <w:rPr>
          <w:rFonts w:eastAsia="Times New Roman"/>
          <w:szCs w:val="24"/>
        </w:rPr>
        <w:t>s significant (</w:t>
      </w:r>
      <w:r w:rsidR="00BA23A0" w:rsidRPr="005A4A69">
        <w:rPr>
          <w:rFonts w:eastAsia="Times New Roman"/>
          <w:i/>
          <w:szCs w:val="24"/>
        </w:rPr>
        <w:t>b</w:t>
      </w:r>
      <w:r w:rsidR="00BA23A0" w:rsidRPr="005A4A69">
        <w:rPr>
          <w:rFonts w:eastAsia="Times New Roman"/>
          <w:szCs w:val="24"/>
        </w:rPr>
        <w:t xml:space="preserve"> = -.0</w:t>
      </w:r>
      <w:r w:rsidR="004F1833" w:rsidRPr="005A4A69">
        <w:rPr>
          <w:rFonts w:eastAsia="Times New Roman"/>
          <w:szCs w:val="24"/>
        </w:rPr>
        <w:t>3</w:t>
      </w:r>
      <w:r w:rsidR="00BA23A0" w:rsidRPr="005A4A69">
        <w:rPr>
          <w:rFonts w:eastAsia="Times New Roman"/>
          <w:szCs w:val="24"/>
        </w:rPr>
        <w:t>, CI [-.0</w:t>
      </w:r>
      <w:r w:rsidR="004F1833" w:rsidRPr="005A4A69">
        <w:rPr>
          <w:rFonts w:eastAsia="Times New Roman"/>
          <w:szCs w:val="24"/>
        </w:rPr>
        <w:t>6</w:t>
      </w:r>
      <w:r w:rsidR="00B42572">
        <w:rPr>
          <w:rFonts w:eastAsia="Times New Roman"/>
          <w:szCs w:val="24"/>
        </w:rPr>
        <w:t>6</w:t>
      </w:r>
      <w:r w:rsidR="00BA23A0" w:rsidRPr="005A4A69">
        <w:rPr>
          <w:rFonts w:eastAsia="Times New Roman"/>
          <w:szCs w:val="24"/>
        </w:rPr>
        <w:t xml:space="preserve">, -.009]). </w:t>
      </w:r>
    </w:p>
    <w:p w14:paraId="6D30A1ED" w14:textId="6CD6E20D" w:rsidR="00BA23A0" w:rsidRPr="001E01BB" w:rsidRDefault="005A4A69" w:rsidP="000554F2">
      <w:pPr>
        <w:spacing w:line="480" w:lineRule="auto"/>
        <w:ind w:firstLine="720"/>
        <w:rPr>
          <w:szCs w:val="24"/>
        </w:rPr>
      </w:pPr>
      <w:r w:rsidRPr="001E01BB">
        <w:rPr>
          <w:szCs w:val="24"/>
        </w:rPr>
        <w:t>We then test</w:t>
      </w:r>
      <w:r w:rsidR="00284A8C">
        <w:rPr>
          <w:szCs w:val="24"/>
        </w:rPr>
        <w:t>ed</w:t>
      </w:r>
      <w:r w:rsidRPr="001E01BB">
        <w:rPr>
          <w:szCs w:val="24"/>
        </w:rPr>
        <w:t xml:space="preserve"> </w:t>
      </w:r>
      <w:r w:rsidR="00BA23A0" w:rsidRPr="001E01BB">
        <w:rPr>
          <w:szCs w:val="24"/>
        </w:rPr>
        <w:t>Hypotheses 3 and 4</w:t>
      </w:r>
      <w:r w:rsidRPr="001E01BB">
        <w:rPr>
          <w:szCs w:val="24"/>
        </w:rPr>
        <w:t xml:space="preserve"> again using</w:t>
      </w:r>
      <w:r w:rsidR="00BA23A0" w:rsidRPr="001E01BB">
        <w:rPr>
          <w:szCs w:val="24"/>
        </w:rPr>
        <w:t xml:space="preserve"> Hayes’ (2013) PROCESS macro (Model 7) </w:t>
      </w:r>
      <w:r w:rsidRPr="001E01BB">
        <w:rPr>
          <w:szCs w:val="24"/>
        </w:rPr>
        <w:t>with</w:t>
      </w:r>
      <w:r w:rsidR="00BA23A0" w:rsidRPr="001E01BB">
        <w:rPr>
          <w:szCs w:val="24"/>
        </w:rPr>
        <w:t xml:space="preserve"> 5,000 bias-corrected bootstrap samples. </w:t>
      </w:r>
      <w:r w:rsidRPr="001E01BB">
        <w:rPr>
          <w:szCs w:val="24"/>
        </w:rPr>
        <w:t>Hypothesis 3 is supported as</w:t>
      </w:r>
      <w:r w:rsidR="00BA23A0" w:rsidRPr="001E01BB">
        <w:rPr>
          <w:szCs w:val="24"/>
        </w:rPr>
        <w:t xml:space="preserve"> the interactive effect of supervisor BLM and employee BLM on employee-rated LM</w:t>
      </w:r>
      <w:r w:rsidRPr="001E01BB">
        <w:rPr>
          <w:szCs w:val="24"/>
        </w:rPr>
        <w:t>S</w:t>
      </w:r>
      <w:r w:rsidR="00BA23A0" w:rsidRPr="001E01BB">
        <w:rPr>
          <w:szCs w:val="24"/>
        </w:rPr>
        <w:t>X is positive and significant (</w:t>
      </w:r>
      <w:r w:rsidR="00BA23A0" w:rsidRPr="001E01BB">
        <w:rPr>
          <w:i/>
          <w:szCs w:val="24"/>
        </w:rPr>
        <w:t>b</w:t>
      </w:r>
      <w:r w:rsidR="00BA23A0" w:rsidRPr="001E01BB">
        <w:rPr>
          <w:szCs w:val="24"/>
        </w:rPr>
        <w:t xml:space="preserve"> = .</w:t>
      </w:r>
      <w:r w:rsidRPr="001E01BB">
        <w:rPr>
          <w:szCs w:val="24"/>
        </w:rPr>
        <w:t>11</w:t>
      </w:r>
      <w:r w:rsidR="00BA23A0" w:rsidRPr="001E01BB">
        <w:rPr>
          <w:szCs w:val="24"/>
        </w:rPr>
        <w:t xml:space="preserve">, </w:t>
      </w:r>
      <w:r w:rsidR="00BA23A0" w:rsidRPr="001E01BB">
        <w:rPr>
          <w:i/>
          <w:szCs w:val="24"/>
        </w:rPr>
        <w:t>p</w:t>
      </w:r>
      <w:r w:rsidR="00BA23A0" w:rsidRPr="001E01BB">
        <w:rPr>
          <w:szCs w:val="24"/>
        </w:rPr>
        <w:t xml:space="preserve"> &lt; .05, Δ</w:t>
      </w:r>
      <w:r w:rsidR="00BA23A0" w:rsidRPr="001E01BB">
        <w:rPr>
          <w:i/>
          <w:szCs w:val="24"/>
        </w:rPr>
        <w:t>R</w:t>
      </w:r>
      <w:r w:rsidR="00BA23A0" w:rsidRPr="001E01BB">
        <w:rPr>
          <w:i/>
          <w:szCs w:val="24"/>
          <w:vertAlign w:val="superscript"/>
        </w:rPr>
        <w:t>2</w:t>
      </w:r>
      <w:r w:rsidR="00BA23A0" w:rsidRPr="001E01BB">
        <w:rPr>
          <w:i/>
          <w:szCs w:val="24"/>
        </w:rPr>
        <w:t xml:space="preserve"> </w:t>
      </w:r>
      <w:r w:rsidR="00BA23A0" w:rsidRPr="001E01BB">
        <w:rPr>
          <w:szCs w:val="24"/>
        </w:rPr>
        <w:t>= .0</w:t>
      </w:r>
      <w:r w:rsidR="00B42572">
        <w:rPr>
          <w:szCs w:val="24"/>
        </w:rPr>
        <w:t>3</w:t>
      </w:r>
      <w:r w:rsidR="00BA23A0" w:rsidRPr="001E01BB">
        <w:rPr>
          <w:szCs w:val="24"/>
        </w:rPr>
        <w:t xml:space="preserve">; see Table </w:t>
      </w:r>
      <w:r w:rsidR="00A6493D">
        <w:rPr>
          <w:szCs w:val="24"/>
        </w:rPr>
        <w:t>6</w:t>
      </w:r>
      <w:r w:rsidR="00BA23A0" w:rsidRPr="001E01BB">
        <w:rPr>
          <w:szCs w:val="24"/>
        </w:rPr>
        <w:t xml:space="preserve">). We </w:t>
      </w:r>
      <w:r w:rsidR="001E01BB" w:rsidRPr="001E01BB">
        <w:rPr>
          <w:szCs w:val="24"/>
        </w:rPr>
        <w:t>also plotted the interaction</w:t>
      </w:r>
      <w:r w:rsidR="00BA23A0" w:rsidRPr="001E01BB">
        <w:rPr>
          <w:szCs w:val="24"/>
        </w:rPr>
        <w:t xml:space="preserve"> (Figure </w:t>
      </w:r>
      <w:r w:rsidR="001E01BB" w:rsidRPr="001E01BB">
        <w:rPr>
          <w:szCs w:val="24"/>
        </w:rPr>
        <w:t>3</w:t>
      </w:r>
      <w:r w:rsidR="00BA23A0" w:rsidRPr="001E01BB">
        <w:rPr>
          <w:szCs w:val="24"/>
        </w:rPr>
        <w:t>) and conduct</w:t>
      </w:r>
      <w:r w:rsidR="001E01BB" w:rsidRPr="001E01BB">
        <w:rPr>
          <w:szCs w:val="24"/>
        </w:rPr>
        <w:t>ed</w:t>
      </w:r>
      <w:r w:rsidR="00BA23A0" w:rsidRPr="001E01BB">
        <w:rPr>
          <w:szCs w:val="24"/>
        </w:rPr>
        <w:t xml:space="preserve"> simple slopes analysis. </w:t>
      </w:r>
      <w:r w:rsidR="001E01BB" w:rsidRPr="001E01BB">
        <w:rPr>
          <w:szCs w:val="24"/>
        </w:rPr>
        <w:t xml:space="preserve">The pattern of results is </w:t>
      </w:r>
      <w:r w:rsidR="0069698A">
        <w:rPr>
          <w:szCs w:val="24"/>
        </w:rPr>
        <w:t>similar to</w:t>
      </w:r>
      <w:r w:rsidR="001E01BB" w:rsidRPr="001E01BB">
        <w:rPr>
          <w:szCs w:val="24"/>
        </w:rPr>
        <w:t xml:space="preserve"> what was found in Study 1. </w:t>
      </w:r>
      <w:r w:rsidR="00023347">
        <w:rPr>
          <w:szCs w:val="24"/>
        </w:rPr>
        <w:t>The simple slope of e</w:t>
      </w:r>
      <w:r w:rsidR="001E01BB" w:rsidRPr="001E01BB">
        <w:rPr>
          <w:szCs w:val="24"/>
        </w:rPr>
        <w:t>mployee-rated LMSX on supervisor BLM is negative and significant when employee BLM is low (</w:t>
      </w:r>
      <w:r w:rsidR="001E01BB" w:rsidRPr="001E01BB">
        <w:rPr>
          <w:i/>
          <w:szCs w:val="24"/>
        </w:rPr>
        <w:t>t</w:t>
      </w:r>
      <w:r w:rsidR="001E01BB" w:rsidRPr="001E01BB">
        <w:rPr>
          <w:szCs w:val="24"/>
        </w:rPr>
        <w:t xml:space="preserve"> = -4.0</w:t>
      </w:r>
      <w:r w:rsidR="00B42572">
        <w:rPr>
          <w:szCs w:val="24"/>
        </w:rPr>
        <w:t>9</w:t>
      </w:r>
      <w:r w:rsidR="001E01BB" w:rsidRPr="001E01BB">
        <w:rPr>
          <w:szCs w:val="24"/>
        </w:rPr>
        <w:t xml:space="preserve">, </w:t>
      </w:r>
      <w:r w:rsidR="001E01BB" w:rsidRPr="001E01BB">
        <w:rPr>
          <w:i/>
          <w:szCs w:val="24"/>
        </w:rPr>
        <w:t>p</w:t>
      </w:r>
      <w:r w:rsidR="001E01BB" w:rsidRPr="001E01BB">
        <w:rPr>
          <w:szCs w:val="24"/>
        </w:rPr>
        <w:t xml:space="preserve"> &lt; .001), and not significant when employee BLM is high (</w:t>
      </w:r>
      <w:r w:rsidR="001E01BB" w:rsidRPr="001E01BB">
        <w:rPr>
          <w:i/>
          <w:szCs w:val="24"/>
        </w:rPr>
        <w:t>t</w:t>
      </w:r>
      <w:r w:rsidR="001E01BB" w:rsidRPr="001E01BB">
        <w:rPr>
          <w:szCs w:val="24"/>
        </w:rPr>
        <w:t xml:space="preserve"> = -1.41, </w:t>
      </w:r>
      <w:r w:rsidR="001E01BB" w:rsidRPr="001E01BB">
        <w:rPr>
          <w:i/>
          <w:szCs w:val="24"/>
        </w:rPr>
        <w:t>ns</w:t>
      </w:r>
      <w:r w:rsidR="001E01BB" w:rsidRPr="001E01BB">
        <w:rPr>
          <w:szCs w:val="24"/>
        </w:rPr>
        <w:t xml:space="preserve">). Thus, low levels of employee BLM exacerbate the negative effect of supervisor BLM on employees’ LMSX perceptions. </w:t>
      </w:r>
    </w:p>
    <w:p w14:paraId="7DC0EEB7" w14:textId="77777777" w:rsidR="00BA23A0" w:rsidRPr="001E01BB" w:rsidRDefault="00BA23A0" w:rsidP="00BA23A0">
      <w:pPr>
        <w:contextualSpacing/>
        <w:jc w:val="center"/>
      </w:pPr>
      <w:r w:rsidRPr="001E01BB">
        <w:t>---------------------------------------</w:t>
      </w:r>
    </w:p>
    <w:p w14:paraId="6D92D8CA" w14:textId="18E3CECD" w:rsidR="00BA23A0" w:rsidRPr="001E01BB" w:rsidRDefault="00BA23A0" w:rsidP="00BA23A0">
      <w:pPr>
        <w:contextualSpacing/>
        <w:jc w:val="center"/>
        <w:rPr>
          <w:szCs w:val="24"/>
        </w:rPr>
      </w:pPr>
      <w:r w:rsidRPr="001E01BB">
        <w:rPr>
          <w:szCs w:val="24"/>
        </w:rPr>
        <w:t>Insert Table</w:t>
      </w:r>
      <w:r w:rsidR="00FF39BA">
        <w:rPr>
          <w:szCs w:val="24"/>
        </w:rPr>
        <w:t xml:space="preserve">s </w:t>
      </w:r>
      <w:r w:rsidR="00A6493D">
        <w:rPr>
          <w:szCs w:val="24"/>
        </w:rPr>
        <w:t>5</w:t>
      </w:r>
      <w:r w:rsidR="00FF39BA">
        <w:rPr>
          <w:szCs w:val="24"/>
        </w:rPr>
        <w:t xml:space="preserve"> and</w:t>
      </w:r>
      <w:r w:rsidRPr="001E01BB">
        <w:rPr>
          <w:szCs w:val="24"/>
        </w:rPr>
        <w:t xml:space="preserve"> </w:t>
      </w:r>
      <w:r w:rsidR="00A6493D">
        <w:rPr>
          <w:szCs w:val="24"/>
        </w:rPr>
        <w:t>6</w:t>
      </w:r>
      <w:r w:rsidRPr="001E01BB">
        <w:rPr>
          <w:szCs w:val="24"/>
        </w:rPr>
        <w:t xml:space="preserve"> and Figure </w:t>
      </w:r>
      <w:r w:rsidR="001E01BB" w:rsidRPr="001E01BB">
        <w:rPr>
          <w:szCs w:val="24"/>
        </w:rPr>
        <w:t>3</w:t>
      </w:r>
      <w:r w:rsidRPr="001E01BB">
        <w:rPr>
          <w:szCs w:val="24"/>
        </w:rPr>
        <w:t xml:space="preserve"> about here</w:t>
      </w:r>
    </w:p>
    <w:p w14:paraId="3593B665" w14:textId="77777777" w:rsidR="00BA23A0" w:rsidRPr="001E01BB" w:rsidRDefault="00BA23A0" w:rsidP="00BA23A0">
      <w:pPr>
        <w:spacing w:line="480" w:lineRule="auto"/>
        <w:jc w:val="center"/>
        <w:rPr>
          <w:szCs w:val="24"/>
        </w:rPr>
      </w:pPr>
      <w:r w:rsidRPr="001E01BB">
        <w:rPr>
          <w:szCs w:val="24"/>
        </w:rPr>
        <w:t>---------------------------------------</w:t>
      </w:r>
    </w:p>
    <w:p w14:paraId="7EC901A7" w14:textId="64CA3113" w:rsidR="00BA23A0" w:rsidRPr="006F66A6" w:rsidRDefault="001E01BB" w:rsidP="00BA23A0">
      <w:pPr>
        <w:spacing w:line="480" w:lineRule="auto"/>
        <w:ind w:firstLine="720"/>
        <w:rPr>
          <w:rFonts w:eastAsia="Times New Roman"/>
          <w:szCs w:val="24"/>
        </w:rPr>
      </w:pPr>
      <w:r w:rsidRPr="001E01BB">
        <w:rPr>
          <w:szCs w:val="24"/>
        </w:rPr>
        <w:t>In analyzing</w:t>
      </w:r>
      <w:r w:rsidR="00BA23A0" w:rsidRPr="001E01BB">
        <w:rPr>
          <w:szCs w:val="24"/>
        </w:rPr>
        <w:t xml:space="preserve"> Hypothesis 4, we </w:t>
      </w:r>
      <w:r w:rsidR="0069698A">
        <w:rPr>
          <w:szCs w:val="24"/>
        </w:rPr>
        <w:t xml:space="preserve">first </w:t>
      </w:r>
      <w:r w:rsidR="00BA23A0" w:rsidRPr="001E01BB">
        <w:rPr>
          <w:szCs w:val="24"/>
        </w:rPr>
        <w:t>note LM</w:t>
      </w:r>
      <w:r w:rsidRPr="001E01BB">
        <w:rPr>
          <w:szCs w:val="24"/>
        </w:rPr>
        <w:t>S</w:t>
      </w:r>
      <w:r w:rsidR="00BA23A0" w:rsidRPr="001E01BB">
        <w:rPr>
          <w:szCs w:val="24"/>
        </w:rPr>
        <w:t>X is positively related to task performance (</w:t>
      </w:r>
      <w:r w:rsidR="00BA23A0" w:rsidRPr="001E01BB">
        <w:rPr>
          <w:i/>
          <w:szCs w:val="24"/>
        </w:rPr>
        <w:t>b</w:t>
      </w:r>
      <w:r w:rsidR="00BA23A0" w:rsidRPr="001E01BB">
        <w:rPr>
          <w:szCs w:val="24"/>
        </w:rPr>
        <w:t xml:space="preserve"> = .</w:t>
      </w:r>
      <w:r w:rsidRPr="001E01BB">
        <w:rPr>
          <w:szCs w:val="24"/>
        </w:rPr>
        <w:t>1</w:t>
      </w:r>
      <w:r w:rsidR="00B42572">
        <w:rPr>
          <w:szCs w:val="24"/>
        </w:rPr>
        <w:t>8</w:t>
      </w:r>
      <w:r w:rsidR="00BA23A0" w:rsidRPr="001E01BB">
        <w:rPr>
          <w:szCs w:val="24"/>
        </w:rPr>
        <w:t xml:space="preserve">, </w:t>
      </w:r>
      <w:r w:rsidR="00BA23A0" w:rsidRPr="001E01BB">
        <w:rPr>
          <w:i/>
          <w:szCs w:val="24"/>
        </w:rPr>
        <w:t>p</w:t>
      </w:r>
      <w:r w:rsidR="00BA23A0" w:rsidRPr="001E01BB">
        <w:rPr>
          <w:szCs w:val="24"/>
        </w:rPr>
        <w:t xml:space="preserve"> &lt; .0</w:t>
      </w:r>
      <w:r w:rsidRPr="001E01BB">
        <w:rPr>
          <w:szCs w:val="24"/>
        </w:rPr>
        <w:t>01</w:t>
      </w:r>
      <w:r w:rsidR="00BA23A0" w:rsidRPr="001E01BB">
        <w:rPr>
          <w:szCs w:val="24"/>
        </w:rPr>
        <w:t xml:space="preserve">). </w:t>
      </w:r>
      <w:r w:rsidR="0069698A">
        <w:rPr>
          <w:szCs w:val="24"/>
        </w:rPr>
        <w:t xml:space="preserve">Next, the results show </w:t>
      </w:r>
      <w:r w:rsidRPr="001E01BB">
        <w:rPr>
          <w:szCs w:val="24"/>
        </w:rPr>
        <w:t>t</w:t>
      </w:r>
      <w:r w:rsidR="00BA23A0" w:rsidRPr="001E01BB">
        <w:rPr>
          <w:szCs w:val="24"/>
        </w:rPr>
        <w:t>he conditional indirect effect is significant when employee BLM is low (i.e., 1 standard deviation below the mean)</w:t>
      </w:r>
      <w:r w:rsidRPr="001E01BB">
        <w:rPr>
          <w:szCs w:val="24"/>
        </w:rPr>
        <w:t xml:space="preserve"> and </w:t>
      </w:r>
      <w:r w:rsidR="00BA23A0" w:rsidRPr="001E01BB">
        <w:rPr>
          <w:szCs w:val="24"/>
        </w:rPr>
        <w:t xml:space="preserve">average, </w:t>
      </w:r>
      <w:r w:rsidRPr="001E01BB">
        <w:rPr>
          <w:szCs w:val="24"/>
        </w:rPr>
        <w:t>but become</w:t>
      </w:r>
      <w:r w:rsidR="0069698A">
        <w:rPr>
          <w:szCs w:val="24"/>
        </w:rPr>
        <w:t>s</w:t>
      </w:r>
      <w:r w:rsidRPr="001E01BB">
        <w:rPr>
          <w:szCs w:val="24"/>
        </w:rPr>
        <w:t xml:space="preserve"> non-significant when </w:t>
      </w:r>
      <w:r w:rsidR="0069698A">
        <w:rPr>
          <w:szCs w:val="24"/>
        </w:rPr>
        <w:t>employee BLM</w:t>
      </w:r>
      <w:r w:rsidR="0069698A" w:rsidRPr="001E01BB">
        <w:rPr>
          <w:szCs w:val="24"/>
        </w:rPr>
        <w:t xml:space="preserve"> </w:t>
      </w:r>
      <w:r w:rsidRPr="001E01BB">
        <w:rPr>
          <w:szCs w:val="24"/>
        </w:rPr>
        <w:t>is h</w:t>
      </w:r>
      <w:r w:rsidR="00BA23A0" w:rsidRPr="001E01BB">
        <w:rPr>
          <w:szCs w:val="24"/>
        </w:rPr>
        <w:t>igh (i.e., 1 standard deviation above the mean; see Table</w:t>
      </w:r>
      <w:r w:rsidR="002E0EC1">
        <w:rPr>
          <w:szCs w:val="24"/>
        </w:rPr>
        <w:t xml:space="preserve"> 6</w:t>
      </w:r>
      <w:r w:rsidR="00BA23A0" w:rsidRPr="001E01BB">
        <w:rPr>
          <w:szCs w:val="24"/>
        </w:rPr>
        <w:t>). Additionally, the IOMM is significant for task performance (</w:t>
      </w:r>
      <w:r w:rsidR="00BA23A0" w:rsidRPr="001E01BB">
        <w:rPr>
          <w:i/>
          <w:szCs w:val="24"/>
        </w:rPr>
        <w:t>b</w:t>
      </w:r>
      <w:r w:rsidR="00BA23A0" w:rsidRPr="001E01BB">
        <w:rPr>
          <w:szCs w:val="24"/>
        </w:rPr>
        <w:t xml:space="preserve"> = .0</w:t>
      </w:r>
      <w:r w:rsidRPr="001E01BB">
        <w:rPr>
          <w:szCs w:val="24"/>
        </w:rPr>
        <w:t>2</w:t>
      </w:r>
      <w:r w:rsidR="00BA23A0" w:rsidRPr="001E01BB">
        <w:rPr>
          <w:szCs w:val="24"/>
        </w:rPr>
        <w:t xml:space="preserve"> (.01), CI [.00</w:t>
      </w:r>
      <w:r w:rsidRPr="001E01BB">
        <w:rPr>
          <w:szCs w:val="24"/>
        </w:rPr>
        <w:t>5</w:t>
      </w:r>
      <w:r w:rsidR="00BA23A0" w:rsidRPr="001E01BB">
        <w:rPr>
          <w:szCs w:val="24"/>
        </w:rPr>
        <w:t xml:space="preserve">, .047]). </w:t>
      </w:r>
      <w:r w:rsidRPr="001E01BB">
        <w:rPr>
          <w:szCs w:val="24"/>
        </w:rPr>
        <w:t xml:space="preserve">Therefore, as in Study 1, Hypothesis 4 is supported. </w:t>
      </w:r>
      <w:r w:rsidR="00DE6F38" w:rsidRPr="008D7214">
        <w:rPr>
          <w:szCs w:val="24"/>
        </w:rPr>
        <w:t xml:space="preserve">As was done in Study 1, we tested our theoretical model while also controlling for follower gender, organizational tenure, and age. The </w:t>
      </w:r>
      <w:r w:rsidR="00DE6F38" w:rsidRPr="008D7214">
        <w:rPr>
          <w:szCs w:val="24"/>
        </w:rPr>
        <w:lastRenderedPageBreak/>
        <w:t>results of those analyses were consistent with those presented here and provided support for all four hypotheses. For the same reason outlined in Study 1, we opted to not include the control variables in our final analyses.</w:t>
      </w:r>
      <w:r w:rsidR="00DE6F38">
        <w:rPr>
          <w:szCs w:val="24"/>
        </w:rPr>
        <w:t xml:space="preserve"> </w:t>
      </w:r>
      <w:r w:rsidR="00B071DB">
        <w:rPr>
          <w:szCs w:val="24"/>
        </w:rPr>
        <w:t>Thus, we find support for all four hypotheses in both studies</w:t>
      </w:r>
      <w:r w:rsidR="00DE6F38" w:rsidRPr="00DE6F38">
        <w:rPr>
          <w:szCs w:val="24"/>
          <w:vertAlign w:val="superscript"/>
        </w:rPr>
        <w:t>3</w:t>
      </w:r>
      <w:r w:rsidR="00B071DB">
        <w:rPr>
          <w:szCs w:val="24"/>
        </w:rPr>
        <w:t>, using a different operationalization of the mediating mechanism, LMX, in each study. This helps to demonstrate the robustness of our findings.</w:t>
      </w:r>
      <w:r w:rsidR="00DE6F38">
        <w:rPr>
          <w:szCs w:val="24"/>
        </w:rPr>
        <w:t xml:space="preserve"> </w:t>
      </w:r>
    </w:p>
    <w:p w14:paraId="4A9ACC0F" w14:textId="16619CB9" w:rsidR="006953D5" w:rsidRPr="00B21B0A" w:rsidRDefault="00FB631F" w:rsidP="00E65C5B">
      <w:pPr>
        <w:spacing w:line="480" w:lineRule="auto"/>
        <w:contextualSpacing/>
        <w:jc w:val="center"/>
        <w:rPr>
          <w:rFonts w:eastAsia="Times New Roman"/>
          <w:color w:val="000000"/>
          <w:szCs w:val="24"/>
        </w:rPr>
      </w:pPr>
      <w:r w:rsidRPr="00B21B0A">
        <w:rPr>
          <w:rFonts w:eastAsia="Times New Roman"/>
          <w:color w:val="000000"/>
          <w:szCs w:val="24"/>
        </w:rPr>
        <w:t>Discussion</w:t>
      </w:r>
    </w:p>
    <w:p w14:paraId="3C2B486C" w14:textId="752BD7FC" w:rsidR="004757FD" w:rsidRPr="00B21B0A" w:rsidRDefault="004757FD" w:rsidP="004757FD">
      <w:pPr>
        <w:spacing w:line="480" w:lineRule="auto"/>
        <w:ind w:firstLine="720"/>
        <w:rPr>
          <w:rFonts w:eastAsia="Times New Roman"/>
          <w:color w:val="000000"/>
          <w:szCs w:val="24"/>
        </w:rPr>
      </w:pPr>
      <w:r w:rsidRPr="00B21B0A">
        <w:rPr>
          <w:rFonts w:eastAsia="Times New Roman"/>
          <w:color w:val="000000"/>
          <w:szCs w:val="24"/>
        </w:rPr>
        <w:t xml:space="preserve">Performance is clearly important to an organization’s health and vitality, and it is also argued to be the most important bottom-line consideration (Brenner </w:t>
      </w:r>
      <w:r w:rsidR="00543FCB">
        <w:rPr>
          <w:rFonts w:eastAsia="Times New Roman"/>
          <w:color w:val="000000"/>
          <w:szCs w:val="24"/>
        </w:rPr>
        <w:t>and</w:t>
      </w:r>
      <w:r w:rsidRPr="00B21B0A">
        <w:rPr>
          <w:rFonts w:eastAsia="Times New Roman"/>
          <w:color w:val="000000"/>
          <w:szCs w:val="24"/>
        </w:rPr>
        <w:t xml:space="preserve"> Molander, 1977). Thus, it may seem a supervisor’s exclusive focus on bottom-line outcomes, what has been described herein as a BLM, would be advantageous in the pursuit of such an organizationally-relevant outcome. </w:t>
      </w:r>
      <w:r w:rsidRPr="002F3A19">
        <w:rPr>
          <w:rFonts w:eastAsia="Times New Roman"/>
          <w:color w:val="000000"/>
          <w:szCs w:val="24"/>
        </w:rPr>
        <w:t xml:space="preserve">Yet, the </w:t>
      </w:r>
      <w:r w:rsidR="002F3A19" w:rsidRPr="002F3A19">
        <w:rPr>
          <w:rFonts w:eastAsia="Times New Roman"/>
          <w:color w:val="000000"/>
          <w:szCs w:val="24"/>
        </w:rPr>
        <w:t>outcomes</w:t>
      </w:r>
      <w:r w:rsidRPr="002F3A19">
        <w:rPr>
          <w:rFonts w:eastAsia="Times New Roman"/>
          <w:color w:val="000000"/>
          <w:szCs w:val="24"/>
        </w:rPr>
        <w:t xml:space="preserve"> that are largely ignored while the bottom-line is singularly focused on, such as ethical, social, </w:t>
      </w:r>
      <w:r w:rsidR="00EF1B62" w:rsidRPr="002F3A19">
        <w:rPr>
          <w:rFonts w:eastAsia="Times New Roman"/>
          <w:color w:val="000000"/>
          <w:szCs w:val="24"/>
        </w:rPr>
        <w:t>and</w:t>
      </w:r>
      <w:r w:rsidRPr="002F3A19">
        <w:rPr>
          <w:rFonts w:eastAsia="Times New Roman"/>
          <w:color w:val="000000"/>
          <w:szCs w:val="24"/>
        </w:rPr>
        <w:t xml:space="preserve"> employee issues (Greenbaum et al., 2012; Wolfe, 1988), raise concerns about the </w:t>
      </w:r>
      <w:r w:rsidR="001F0A53" w:rsidRPr="002F3A19">
        <w:rPr>
          <w:rFonts w:eastAsia="Times New Roman"/>
          <w:color w:val="000000"/>
          <w:szCs w:val="24"/>
        </w:rPr>
        <w:t>perceptions and behavioral reactions of</w:t>
      </w:r>
      <w:r w:rsidRPr="002F3A19">
        <w:rPr>
          <w:rFonts w:eastAsia="Times New Roman"/>
          <w:color w:val="000000"/>
          <w:szCs w:val="24"/>
        </w:rPr>
        <w:t xml:space="preserve"> employees whose supervisors hold a BLM.</w:t>
      </w:r>
      <w:r w:rsidRPr="00B21B0A">
        <w:rPr>
          <w:rFonts w:eastAsia="Times New Roman"/>
          <w:color w:val="000000"/>
          <w:szCs w:val="24"/>
        </w:rPr>
        <w:t xml:space="preserve"> Through the lens of social exchange theory, we identify </w:t>
      </w:r>
      <w:r w:rsidR="00B21B0A" w:rsidRPr="00B21B0A">
        <w:rPr>
          <w:rFonts w:eastAsia="Times New Roman"/>
          <w:color w:val="000000"/>
          <w:szCs w:val="24"/>
        </w:rPr>
        <w:t>an adverse employee outcome</w:t>
      </w:r>
      <w:r w:rsidRPr="00B21B0A">
        <w:rPr>
          <w:rFonts w:eastAsia="Times New Roman"/>
          <w:color w:val="000000"/>
          <w:szCs w:val="24"/>
        </w:rPr>
        <w:t xml:space="preserve"> of supervisor BLM</w:t>
      </w:r>
      <w:r w:rsidR="00965725">
        <w:rPr>
          <w:rFonts w:eastAsia="Times New Roman"/>
          <w:color w:val="000000"/>
          <w:szCs w:val="24"/>
        </w:rPr>
        <w:t>—</w:t>
      </w:r>
      <w:r w:rsidR="00435FED">
        <w:rPr>
          <w:rFonts w:eastAsia="Times New Roman"/>
          <w:color w:val="000000"/>
          <w:szCs w:val="24"/>
        </w:rPr>
        <w:t>lower</w:t>
      </w:r>
      <w:r w:rsidR="00965725">
        <w:rPr>
          <w:rFonts w:eastAsia="Times New Roman"/>
          <w:color w:val="000000"/>
          <w:szCs w:val="24"/>
        </w:rPr>
        <w:t xml:space="preserve"> </w:t>
      </w:r>
      <w:r w:rsidR="00B21B0A" w:rsidRPr="00B21B0A">
        <w:rPr>
          <w:rFonts w:eastAsia="Times New Roman"/>
          <w:color w:val="000000"/>
          <w:szCs w:val="24"/>
        </w:rPr>
        <w:t>employee performance</w:t>
      </w:r>
      <w:r w:rsidRPr="00B21B0A">
        <w:rPr>
          <w:rFonts w:eastAsia="Times New Roman"/>
          <w:color w:val="000000"/>
          <w:szCs w:val="24"/>
        </w:rPr>
        <w:t xml:space="preserve">. </w:t>
      </w:r>
      <w:r w:rsidR="00A26DE8">
        <w:rPr>
          <w:rFonts w:eastAsia="Times New Roman"/>
          <w:color w:val="000000"/>
          <w:szCs w:val="24"/>
        </w:rPr>
        <w:t xml:space="preserve">Thus, </w:t>
      </w:r>
      <w:r w:rsidR="00A26DE8" w:rsidRPr="00A26DE8">
        <w:rPr>
          <w:rFonts w:eastAsia="Times New Roman"/>
          <w:color w:val="000000"/>
          <w:szCs w:val="24"/>
        </w:rPr>
        <w:t xml:space="preserve">while </w:t>
      </w:r>
      <w:r w:rsidR="00B3132E">
        <w:rPr>
          <w:rFonts w:eastAsia="Times New Roman"/>
          <w:color w:val="000000"/>
          <w:szCs w:val="24"/>
        </w:rPr>
        <w:t>high-</w:t>
      </w:r>
      <w:r w:rsidR="00A26DE8" w:rsidRPr="00A26DE8">
        <w:rPr>
          <w:rFonts w:eastAsia="Times New Roman"/>
          <w:color w:val="000000"/>
          <w:szCs w:val="24"/>
        </w:rPr>
        <w:t xml:space="preserve">BLM supervisors signal to their employees the importance of task performance (Mawritz et al., 2017), they also create low-quality relationships </w:t>
      </w:r>
      <w:r w:rsidR="00702D6F">
        <w:rPr>
          <w:rFonts w:eastAsia="Times New Roman"/>
          <w:color w:val="000000"/>
          <w:szCs w:val="24"/>
        </w:rPr>
        <w:t xml:space="preserve">with their employees </w:t>
      </w:r>
      <w:r w:rsidR="00A26DE8" w:rsidRPr="00A26DE8">
        <w:rPr>
          <w:rFonts w:eastAsia="Times New Roman"/>
          <w:color w:val="000000"/>
          <w:szCs w:val="24"/>
        </w:rPr>
        <w:t xml:space="preserve">and employees reciprocate by </w:t>
      </w:r>
      <w:r w:rsidR="00400A90" w:rsidRPr="00400A90">
        <w:rPr>
          <w:rFonts w:eastAsia="Times New Roman"/>
          <w:color w:val="000000"/>
          <w:szCs w:val="24"/>
        </w:rPr>
        <w:t>withholding</w:t>
      </w:r>
      <w:r w:rsidR="00A26DE8" w:rsidRPr="00A26DE8">
        <w:rPr>
          <w:rFonts w:eastAsia="Times New Roman"/>
          <w:color w:val="000000"/>
          <w:szCs w:val="24"/>
        </w:rPr>
        <w:t xml:space="preserve"> the </w:t>
      </w:r>
      <w:r w:rsidR="00622DA1">
        <w:rPr>
          <w:rFonts w:eastAsia="Times New Roman"/>
          <w:color w:val="000000"/>
          <w:szCs w:val="24"/>
        </w:rPr>
        <w:t>behavior</w:t>
      </w:r>
      <w:r w:rsidR="00A26DE8" w:rsidRPr="00A26DE8">
        <w:rPr>
          <w:rFonts w:eastAsia="Times New Roman"/>
          <w:color w:val="000000"/>
          <w:szCs w:val="24"/>
        </w:rPr>
        <w:t xml:space="preserve"> the </w:t>
      </w:r>
      <w:r w:rsidR="00B3132E">
        <w:rPr>
          <w:rFonts w:eastAsia="Times New Roman"/>
          <w:color w:val="000000"/>
          <w:szCs w:val="24"/>
        </w:rPr>
        <w:t>high-</w:t>
      </w:r>
      <w:r w:rsidR="00A26DE8" w:rsidRPr="00A26DE8">
        <w:rPr>
          <w:rFonts w:eastAsia="Times New Roman"/>
          <w:color w:val="000000"/>
          <w:szCs w:val="24"/>
        </w:rPr>
        <w:t>BLM supervisor</w:t>
      </w:r>
      <w:r w:rsidR="00662F3B">
        <w:rPr>
          <w:rFonts w:eastAsia="Times New Roman"/>
          <w:color w:val="000000"/>
          <w:szCs w:val="24"/>
        </w:rPr>
        <w:t>s</w:t>
      </w:r>
      <w:r w:rsidR="00A26DE8" w:rsidRPr="00A26DE8">
        <w:rPr>
          <w:rFonts w:eastAsia="Times New Roman"/>
          <w:color w:val="000000"/>
          <w:szCs w:val="24"/>
        </w:rPr>
        <w:t xml:space="preserve"> want most, performance.</w:t>
      </w:r>
      <w:r w:rsidR="00A26DE8">
        <w:rPr>
          <w:rFonts w:eastAsia="Times New Roman"/>
          <w:color w:val="000000"/>
          <w:szCs w:val="24"/>
        </w:rPr>
        <w:t xml:space="preserve"> </w:t>
      </w:r>
      <w:r w:rsidR="00272E3E" w:rsidRPr="00B21B0A">
        <w:rPr>
          <w:rFonts w:eastAsia="Times New Roman"/>
          <w:color w:val="000000"/>
          <w:szCs w:val="24"/>
        </w:rPr>
        <w:t xml:space="preserve">In </w:t>
      </w:r>
      <w:r w:rsidR="00702D6F">
        <w:rPr>
          <w:rFonts w:eastAsia="Times New Roman"/>
          <w:color w:val="000000"/>
          <w:szCs w:val="24"/>
        </w:rPr>
        <w:t>two</w:t>
      </w:r>
      <w:r w:rsidR="00272E3E" w:rsidRPr="00B21B0A">
        <w:rPr>
          <w:rFonts w:eastAsia="Times New Roman"/>
          <w:color w:val="000000"/>
          <w:szCs w:val="24"/>
        </w:rPr>
        <w:t xml:space="preserve"> multi-source, time-lagged field stud</w:t>
      </w:r>
      <w:r w:rsidR="00702D6F">
        <w:rPr>
          <w:rFonts w:eastAsia="Times New Roman"/>
          <w:color w:val="000000"/>
          <w:szCs w:val="24"/>
        </w:rPr>
        <w:t>ies</w:t>
      </w:r>
      <w:r w:rsidRPr="00B21B0A">
        <w:rPr>
          <w:rFonts w:eastAsia="Times New Roman"/>
          <w:color w:val="000000"/>
          <w:szCs w:val="24"/>
        </w:rPr>
        <w:t>, we demonstrate supervisor BLM leads</w:t>
      </w:r>
      <w:r w:rsidR="00B21B0A" w:rsidRPr="00B21B0A">
        <w:rPr>
          <w:rFonts w:eastAsia="Times New Roman"/>
          <w:color w:val="000000"/>
          <w:szCs w:val="24"/>
        </w:rPr>
        <w:t xml:space="preserve"> to lower employee performance </w:t>
      </w:r>
      <w:r w:rsidRPr="00B21B0A">
        <w:rPr>
          <w:rFonts w:eastAsia="Times New Roman"/>
          <w:color w:val="000000"/>
          <w:szCs w:val="24"/>
        </w:rPr>
        <w:t xml:space="preserve">as a result of </w:t>
      </w:r>
      <w:r w:rsidR="00B21B0A" w:rsidRPr="00B21B0A">
        <w:rPr>
          <w:rFonts w:eastAsia="Times New Roman"/>
          <w:color w:val="000000"/>
          <w:szCs w:val="24"/>
        </w:rPr>
        <w:t xml:space="preserve">employees perceiving low-quality LMX relationships with their </w:t>
      </w:r>
      <w:r w:rsidR="00B3132E">
        <w:rPr>
          <w:rFonts w:eastAsia="Times New Roman"/>
          <w:color w:val="000000"/>
          <w:szCs w:val="24"/>
        </w:rPr>
        <w:t>high-</w:t>
      </w:r>
      <w:r w:rsidR="00B21B0A" w:rsidRPr="00B21B0A">
        <w:rPr>
          <w:rFonts w:eastAsia="Times New Roman"/>
          <w:color w:val="000000"/>
          <w:szCs w:val="24"/>
        </w:rPr>
        <w:t xml:space="preserve">BLM supervisors. </w:t>
      </w:r>
      <w:r w:rsidRPr="00B21B0A">
        <w:rPr>
          <w:rFonts w:eastAsia="Times New Roman"/>
          <w:color w:val="000000"/>
          <w:szCs w:val="24"/>
        </w:rPr>
        <w:t xml:space="preserve">Furthermore, we find employee BLM serves as a moderating </w:t>
      </w:r>
      <w:r w:rsidR="00C67575">
        <w:rPr>
          <w:rFonts w:eastAsia="Times New Roman"/>
          <w:color w:val="000000"/>
          <w:szCs w:val="24"/>
        </w:rPr>
        <w:t>factor</w:t>
      </w:r>
      <w:r w:rsidR="00C67575" w:rsidRPr="00B21B0A">
        <w:rPr>
          <w:rFonts w:eastAsia="Times New Roman"/>
          <w:color w:val="000000"/>
          <w:szCs w:val="24"/>
        </w:rPr>
        <w:t xml:space="preserve"> </w:t>
      </w:r>
      <w:r w:rsidRPr="00B21B0A">
        <w:rPr>
          <w:rFonts w:eastAsia="Times New Roman"/>
          <w:color w:val="000000"/>
          <w:szCs w:val="24"/>
        </w:rPr>
        <w:t>on these relationships such that when supervisor BLM is high and employee BLM is low</w:t>
      </w:r>
      <w:r w:rsidR="0094164E" w:rsidRPr="00B21B0A">
        <w:rPr>
          <w:rFonts w:eastAsia="Times New Roman"/>
          <w:color w:val="000000"/>
          <w:szCs w:val="24"/>
        </w:rPr>
        <w:t>,</w:t>
      </w:r>
      <w:r w:rsidRPr="00B21B0A">
        <w:rPr>
          <w:rFonts w:eastAsia="Times New Roman"/>
          <w:color w:val="000000"/>
          <w:szCs w:val="24"/>
        </w:rPr>
        <w:t xml:space="preserve"> the damaging effects of supervisor BLM are </w:t>
      </w:r>
      <w:r w:rsidR="00435FED">
        <w:rPr>
          <w:rFonts w:eastAsia="Times New Roman"/>
          <w:color w:val="000000"/>
          <w:szCs w:val="24"/>
        </w:rPr>
        <w:t>strengthened</w:t>
      </w:r>
      <w:r w:rsidRPr="00B21B0A">
        <w:rPr>
          <w:rFonts w:eastAsia="Times New Roman"/>
          <w:color w:val="000000"/>
          <w:szCs w:val="24"/>
        </w:rPr>
        <w:t xml:space="preserve"> due to even </w:t>
      </w:r>
      <w:r w:rsidR="00B21B0A" w:rsidRPr="00B21B0A">
        <w:rPr>
          <w:rFonts w:eastAsia="Times New Roman"/>
          <w:color w:val="000000"/>
          <w:szCs w:val="24"/>
        </w:rPr>
        <w:t>worse perceptions of the LMX relationship</w:t>
      </w:r>
      <w:r w:rsidRPr="00B21B0A">
        <w:rPr>
          <w:rFonts w:eastAsia="Times New Roman"/>
          <w:color w:val="000000"/>
          <w:szCs w:val="24"/>
        </w:rPr>
        <w:t>.</w:t>
      </w:r>
    </w:p>
    <w:p w14:paraId="7F3CB9E5" w14:textId="3CCC307A" w:rsidR="00EC6E84" w:rsidRPr="00E56301" w:rsidRDefault="00EC6E84" w:rsidP="008D6F39">
      <w:pPr>
        <w:spacing w:line="480" w:lineRule="auto"/>
        <w:rPr>
          <w:rFonts w:eastAsia="Times New Roman"/>
          <w:i/>
          <w:color w:val="000000"/>
          <w:szCs w:val="24"/>
        </w:rPr>
      </w:pPr>
      <w:r w:rsidRPr="00E56301">
        <w:rPr>
          <w:rFonts w:eastAsia="Times New Roman"/>
          <w:i/>
          <w:color w:val="000000"/>
          <w:szCs w:val="24"/>
        </w:rPr>
        <w:lastRenderedPageBreak/>
        <w:t>Theoretical Implications</w:t>
      </w:r>
    </w:p>
    <w:p w14:paraId="5874F54A" w14:textId="6FA2EDC7" w:rsidR="00171FD6" w:rsidRPr="00867E10" w:rsidRDefault="00171FD6" w:rsidP="008D6F39">
      <w:pPr>
        <w:spacing w:line="480" w:lineRule="auto"/>
        <w:ind w:firstLine="720"/>
        <w:rPr>
          <w:rFonts w:eastAsia="Times New Roman"/>
          <w:color w:val="000000"/>
          <w:szCs w:val="24"/>
          <w:highlight w:val="yellow"/>
        </w:rPr>
      </w:pPr>
      <w:r w:rsidRPr="00E56301">
        <w:rPr>
          <w:rFonts w:eastAsia="Times New Roman"/>
          <w:color w:val="000000"/>
          <w:szCs w:val="24"/>
        </w:rPr>
        <w:t xml:space="preserve">Our work contributes to and helps advance </w:t>
      </w:r>
      <w:r w:rsidR="00097080">
        <w:rPr>
          <w:rFonts w:eastAsia="Times New Roman"/>
          <w:color w:val="000000"/>
          <w:szCs w:val="24"/>
        </w:rPr>
        <w:t xml:space="preserve">the burgeoning </w:t>
      </w:r>
      <w:r w:rsidRPr="00E56301">
        <w:rPr>
          <w:rFonts w:eastAsia="Times New Roman"/>
          <w:color w:val="000000"/>
          <w:szCs w:val="24"/>
        </w:rPr>
        <w:t xml:space="preserve">research on BLM in </w:t>
      </w:r>
      <w:r w:rsidR="001A1B2F" w:rsidRPr="00E56301">
        <w:rPr>
          <w:rFonts w:eastAsia="Times New Roman"/>
          <w:color w:val="000000"/>
          <w:szCs w:val="24"/>
        </w:rPr>
        <w:t>several</w:t>
      </w:r>
      <w:r w:rsidRPr="00E56301">
        <w:rPr>
          <w:rFonts w:eastAsia="Times New Roman"/>
          <w:color w:val="000000"/>
          <w:szCs w:val="24"/>
        </w:rPr>
        <w:t xml:space="preserve"> ways. First, </w:t>
      </w:r>
      <w:r w:rsidR="00444EA3">
        <w:rPr>
          <w:rFonts w:eastAsia="Times New Roman"/>
          <w:color w:val="000000"/>
          <w:szCs w:val="24"/>
        </w:rPr>
        <w:t>from prior research</w:t>
      </w:r>
      <w:r w:rsidR="00E56301" w:rsidRPr="00E56301">
        <w:rPr>
          <w:rFonts w:eastAsia="Times New Roman"/>
          <w:color w:val="000000"/>
          <w:szCs w:val="24"/>
        </w:rPr>
        <w:t xml:space="preserve">, we understand </w:t>
      </w:r>
      <w:r w:rsidR="00622DA1">
        <w:rPr>
          <w:rFonts w:eastAsia="Times New Roman"/>
          <w:color w:val="000000"/>
          <w:szCs w:val="24"/>
        </w:rPr>
        <w:t>some of the behavioral implications of</w:t>
      </w:r>
      <w:r w:rsidR="00E56301" w:rsidRPr="00E56301">
        <w:rPr>
          <w:rFonts w:eastAsia="Times New Roman"/>
          <w:color w:val="000000"/>
          <w:szCs w:val="24"/>
        </w:rPr>
        <w:t xml:space="preserve"> supervisor BLM </w:t>
      </w:r>
      <w:r w:rsidR="00622DA1">
        <w:rPr>
          <w:rFonts w:eastAsia="Times New Roman"/>
          <w:color w:val="000000"/>
          <w:szCs w:val="24"/>
        </w:rPr>
        <w:t>including</w:t>
      </w:r>
      <w:r w:rsidR="00E56301" w:rsidRPr="00E56301">
        <w:rPr>
          <w:rFonts w:eastAsia="Times New Roman"/>
          <w:color w:val="000000"/>
          <w:szCs w:val="24"/>
        </w:rPr>
        <w:t xml:space="preserve"> increased coworker undermining (Greenbaum et al., 2012)</w:t>
      </w:r>
      <w:r w:rsidR="00622DA1">
        <w:rPr>
          <w:rFonts w:eastAsia="Times New Roman"/>
          <w:color w:val="000000"/>
          <w:szCs w:val="24"/>
        </w:rPr>
        <w:t xml:space="preserve">, unethical behaviors (Mesdaghinia et al., 2018), and abusive supervision (Mawritz et al., 2017). We understand </w:t>
      </w:r>
      <w:r w:rsidR="0077353A">
        <w:rPr>
          <w:rFonts w:eastAsia="Times New Roman"/>
          <w:color w:val="000000"/>
          <w:szCs w:val="24"/>
        </w:rPr>
        <w:t>employee BLM can also enhance the impact of supervisor undermining on employee undermining (Eissa et al., 2018)</w:t>
      </w:r>
      <w:r w:rsidR="00E56301" w:rsidRPr="00E56301">
        <w:rPr>
          <w:rFonts w:eastAsia="Times New Roman"/>
          <w:color w:val="000000"/>
          <w:szCs w:val="24"/>
        </w:rPr>
        <w:t>.</w:t>
      </w:r>
      <w:r w:rsidR="00622DA1">
        <w:rPr>
          <w:rFonts w:eastAsia="Times New Roman"/>
          <w:color w:val="000000"/>
          <w:szCs w:val="24"/>
        </w:rPr>
        <w:t xml:space="preserve"> These studies shed light on the impact BLM can have on negative workplace </w:t>
      </w:r>
      <w:r w:rsidR="00622DA1" w:rsidRPr="00622DA1">
        <w:rPr>
          <w:rFonts w:eastAsia="Times New Roman"/>
          <w:i/>
          <w:color w:val="000000"/>
          <w:szCs w:val="24"/>
        </w:rPr>
        <w:t>behaviors</w:t>
      </w:r>
      <w:r w:rsidR="00622DA1">
        <w:rPr>
          <w:rFonts w:eastAsia="Times New Roman"/>
          <w:color w:val="000000"/>
          <w:szCs w:val="24"/>
        </w:rPr>
        <w:t>.</w:t>
      </w:r>
      <w:r w:rsidR="00E56301" w:rsidRPr="00E56301">
        <w:rPr>
          <w:rFonts w:eastAsia="Times New Roman"/>
          <w:color w:val="000000"/>
          <w:szCs w:val="24"/>
        </w:rPr>
        <w:t xml:space="preserve"> However, </w:t>
      </w:r>
      <w:r w:rsidRPr="00E56301">
        <w:rPr>
          <w:rFonts w:eastAsia="Times New Roman"/>
          <w:color w:val="000000"/>
          <w:szCs w:val="24"/>
        </w:rPr>
        <w:t>to date</w:t>
      </w:r>
      <w:r w:rsidR="00E56301" w:rsidRPr="00E56301">
        <w:rPr>
          <w:rFonts w:eastAsia="Times New Roman"/>
          <w:color w:val="000000"/>
          <w:szCs w:val="24"/>
        </w:rPr>
        <w:t>,</w:t>
      </w:r>
      <w:r w:rsidRPr="00E56301">
        <w:rPr>
          <w:rFonts w:eastAsia="Times New Roman"/>
          <w:color w:val="000000"/>
          <w:szCs w:val="24"/>
        </w:rPr>
        <w:t xml:space="preserve"> no research has </w:t>
      </w:r>
      <w:r w:rsidR="00510FBE" w:rsidRPr="00E56301">
        <w:rPr>
          <w:rFonts w:eastAsia="Times New Roman"/>
          <w:color w:val="000000"/>
          <w:szCs w:val="24"/>
        </w:rPr>
        <w:t>studied</w:t>
      </w:r>
      <w:r w:rsidRPr="00E56301">
        <w:rPr>
          <w:rFonts w:eastAsia="Times New Roman"/>
          <w:color w:val="000000"/>
          <w:szCs w:val="24"/>
        </w:rPr>
        <w:t xml:space="preserve"> </w:t>
      </w:r>
      <w:r w:rsidR="00E56301" w:rsidRPr="00E56301">
        <w:rPr>
          <w:rFonts w:eastAsia="Times New Roman"/>
          <w:color w:val="000000"/>
          <w:szCs w:val="24"/>
        </w:rPr>
        <w:t xml:space="preserve">how employees </w:t>
      </w:r>
      <w:r w:rsidR="00E56301" w:rsidRPr="00C7537E">
        <w:rPr>
          <w:rFonts w:eastAsia="Times New Roman"/>
          <w:i/>
          <w:color w:val="000000"/>
          <w:szCs w:val="24"/>
        </w:rPr>
        <w:t>perceive</w:t>
      </w:r>
      <w:r w:rsidR="00E56301" w:rsidRPr="00E56301">
        <w:rPr>
          <w:rFonts w:eastAsia="Times New Roman"/>
          <w:color w:val="000000"/>
          <w:szCs w:val="24"/>
        </w:rPr>
        <w:t xml:space="preserve"> BLM supervisors and thereby </w:t>
      </w:r>
      <w:r w:rsidR="009B37E5">
        <w:rPr>
          <w:rFonts w:eastAsia="Times New Roman"/>
          <w:color w:val="000000"/>
          <w:szCs w:val="24"/>
        </w:rPr>
        <w:t>why</w:t>
      </w:r>
      <w:r w:rsidR="00E56301" w:rsidRPr="00E56301">
        <w:rPr>
          <w:rFonts w:eastAsia="Times New Roman"/>
          <w:color w:val="000000"/>
          <w:szCs w:val="24"/>
        </w:rPr>
        <w:t xml:space="preserve"> those employees will respond </w:t>
      </w:r>
      <w:r w:rsidR="009B37E5">
        <w:rPr>
          <w:rFonts w:eastAsia="Times New Roman"/>
          <w:color w:val="000000"/>
          <w:szCs w:val="24"/>
        </w:rPr>
        <w:t>with negative behaviors, such as social undermining (Greenbaum et al., 2012)</w:t>
      </w:r>
      <w:r w:rsidR="00131CEC">
        <w:rPr>
          <w:rFonts w:eastAsia="Times New Roman"/>
          <w:color w:val="000000"/>
          <w:szCs w:val="24"/>
        </w:rPr>
        <w:t xml:space="preserve"> and</w:t>
      </w:r>
      <w:r w:rsidR="009B37E5">
        <w:rPr>
          <w:rFonts w:eastAsia="Times New Roman"/>
          <w:color w:val="000000"/>
          <w:szCs w:val="24"/>
        </w:rPr>
        <w:t xml:space="preserve"> unethical behavior (</w:t>
      </w:r>
      <w:r w:rsidR="009B37E5">
        <w:t>Mesdaghinia et al., 2018</w:t>
      </w:r>
      <w:r w:rsidR="00297BA0">
        <w:t>)</w:t>
      </w:r>
      <w:r w:rsidR="00E56301" w:rsidRPr="00E56301">
        <w:rPr>
          <w:rFonts w:eastAsia="Times New Roman"/>
          <w:color w:val="000000"/>
          <w:szCs w:val="24"/>
        </w:rPr>
        <w:t xml:space="preserve">. </w:t>
      </w:r>
      <w:r w:rsidR="00E56301">
        <w:rPr>
          <w:rFonts w:eastAsia="Times New Roman"/>
          <w:color w:val="000000"/>
          <w:szCs w:val="24"/>
        </w:rPr>
        <w:t>W</w:t>
      </w:r>
      <w:r w:rsidRPr="000C5937">
        <w:rPr>
          <w:rFonts w:eastAsia="Times New Roman"/>
          <w:color w:val="000000"/>
          <w:szCs w:val="24"/>
        </w:rPr>
        <w:t xml:space="preserve">e </w:t>
      </w:r>
      <w:r w:rsidR="00297BA0">
        <w:rPr>
          <w:rFonts w:eastAsia="Times New Roman"/>
          <w:color w:val="000000"/>
          <w:szCs w:val="24"/>
        </w:rPr>
        <w:t>find</w:t>
      </w:r>
      <w:r w:rsidR="00282BC5" w:rsidRPr="000C5937">
        <w:rPr>
          <w:rFonts w:eastAsia="Times New Roman"/>
          <w:color w:val="000000"/>
          <w:szCs w:val="24"/>
        </w:rPr>
        <w:t xml:space="preserve"> </w:t>
      </w:r>
      <w:r w:rsidRPr="000C5937">
        <w:rPr>
          <w:rFonts w:eastAsia="Times New Roman"/>
          <w:color w:val="000000"/>
          <w:szCs w:val="24"/>
        </w:rPr>
        <w:t>high</w:t>
      </w:r>
      <w:r w:rsidR="00B3132E">
        <w:rPr>
          <w:rFonts w:eastAsia="Times New Roman"/>
          <w:color w:val="000000"/>
          <w:szCs w:val="24"/>
        </w:rPr>
        <w:t>-</w:t>
      </w:r>
      <w:r w:rsidRPr="000C5937">
        <w:rPr>
          <w:rFonts w:eastAsia="Times New Roman"/>
          <w:color w:val="000000"/>
          <w:szCs w:val="24"/>
        </w:rPr>
        <w:t xml:space="preserve">BLM </w:t>
      </w:r>
      <w:r w:rsidR="00EF1B62" w:rsidRPr="000C5937">
        <w:rPr>
          <w:rFonts w:eastAsia="Times New Roman"/>
          <w:color w:val="000000"/>
          <w:szCs w:val="24"/>
        </w:rPr>
        <w:t xml:space="preserve">supervisors </w:t>
      </w:r>
      <w:r w:rsidR="009C5627" w:rsidRPr="000C5937">
        <w:rPr>
          <w:rFonts w:eastAsia="Times New Roman"/>
          <w:color w:val="000000"/>
          <w:szCs w:val="24"/>
        </w:rPr>
        <w:t>serve as</w:t>
      </w:r>
      <w:r w:rsidRPr="000C5937">
        <w:rPr>
          <w:rFonts w:eastAsia="Times New Roman"/>
          <w:color w:val="000000"/>
          <w:szCs w:val="24"/>
        </w:rPr>
        <w:t xml:space="preserve"> low</w:t>
      </w:r>
      <w:r w:rsidR="00C44173" w:rsidRPr="000C5937">
        <w:rPr>
          <w:rFonts w:eastAsia="Times New Roman"/>
          <w:color w:val="000000"/>
          <w:szCs w:val="24"/>
        </w:rPr>
        <w:t>-</w:t>
      </w:r>
      <w:r w:rsidRPr="000C5937">
        <w:rPr>
          <w:rFonts w:eastAsia="Times New Roman"/>
          <w:color w:val="000000"/>
          <w:szCs w:val="24"/>
        </w:rPr>
        <w:t xml:space="preserve">quality </w:t>
      </w:r>
      <w:r w:rsidR="00282BC5" w:rsidRPr="000C5937">
        <w:rPr>
          <w:rFonts w:eastAsia="Times New Roman"/>
          <w:color w:val="000000"/>
          <w:szCs w:val="24"/>
        </w:rPr>
        <w:t xml:space="preserve">social </w:t>
      </w:r>
      <w:r w:rsidRPr="000C5937">
        <w:rPr>
          <w:rFonts w:eastAsia="Times New Roman"/>
          <w:color w:val="000000"/>
          <w:szCs w:val="24"/>
        </w:rPr>
        <w:t xml:space="preserve">exchange </w:t>
      </w:r>
      <w:r w:rsidR="009C5627" w:rsidRPr="000C5937">
        <w:rPr>
          <w:rFonts w:eastAsia="Times New Roman"/>
          <w:color w:val="000000"/>
          <w:szCs w:val="24"/>
        </w:rPr>
        <w:t>partners</w:t>
      </w:r>
      <w:r w:rsidR="00272E3E" w:rsidRPr="000C5937">
        <w:rPr>
          <w:rFonts w:eastAsia="Times New Roman"/>
          <w:color w:val="000000"/>
          <w:szCs w:val="24"/>
        </w:rPr>
        <w:t xml:space="preserve"> </w:t>
      </w:r>
      <w:r w:rsidR="00E56301" w:rsidRPr="000C5937">
        <w:rPr>
          <w:rFonts w:eastAsia="Times New Roman"/>
          <w:color w:val="000000"/>
          <w:szCs w:val="24"/>
        </w:rPr>
        <w:t xml:space="preserve">resulting in employees perceiving low-quality LMX relationships with those supervisors. </w:t>
      </w:r>
      <w:r w:rsidR="00C9584F">
        <w:t>B</w:t>
      </w:r>
      <w:r w:rsidR="009B5E02">
        <w:t xml:space="preserve">uilding on past BLM </w:t>
      </w:r>
      <w:r w:rsidR="00C9584F">
        <w:t>literature</w:t>
      </w:r>
      <w:r w:rsidR="009B5E02">
        <w:t xml:space="preserve"> and social exchange theory</w:t>
      </w:r>
      <w:r w:rsidR="00400A90">
        <w:t xml:space="preserve"> (Blau, 1964)</w:t>
      </w:r>
      <w:r w:rsidR="009B5E02">
        <w:t>, we contribute to BLM theorizing by explaining that employees will perceive lower quality relationships with high</w:t>
      </w:r>
      <w:r w:rsidR="00B3132E">
        <w:t>-</w:t>
      </w:r>
      <w:r w:rsidR="009B5E02">
        <w:t>BLM supervisors and</w:t>
      </w:r>
      <w:r w:rsidR="00E85052">
        <w:t>,</w:t>
      </w:r>
      <w:r w:rsidR="009B5E02">
        <w:t xml:space="preserve"> </w:t>
      </w:r>
      <w:r w:rsidR="00400A90">
        <w:t>in an effort to maintain reciprocity with the supervisor</w:t>
      </w:r>
      <w:r w:rsidR="00E85052">
        <w:t>s</w:t>
      </w:r>
      <w:r w:rsidR="00400A90">
        <w:t xml:space="preserve">, will behave in a way that </w:t>
      </w:r>
      <w:r w:rsidR="009B5E02">
        <w:t>may detract from the supervisors</w:t>
      </w:r>
      <w:r w:rsidR="00E85052">
        <w:t>’</w:t>
      </w:r>
      <w:r w:rsidR="009B5E02">
        <w:t xml:space="preserve"> bottom-line pursuit</w:t>
      </w:r>
      <w:r w:rsidR="00400A90">
        <w:t xml:space="preserve">, withholding their </w:t>
      </w:r>
      <w:r w:rsidR="009B7CBA">
        <w:t>performance efforts</w:t>
      </w:r>
      <w:r w:rsidR="009B5E02">
        <w:t xml:space="preserve">. </w:t>
      </w:r>
      <w:r w:rsidR="00721532" w:rsidRPr="000C5937">
        <w:rPr>
          <w:rFonts w:eastAsia="Times New Roman"/>
          <w:color w:val="000000"/>
          <w:szCs w:val="24"/>
        </w:rPr>
        <w:t>Thus, an employee’</w:t>
      </w:r>
      <w:r w:rsidR="00721532">
        <w:rPr>
          <w:rFonts w:eastAsia="Times New Roman"/>
          <w:color w:val="000000"/>
          <w:szCs w:val="24"/>
        </w:rPr>
        <w:t>s</w:t>
      </w:r>
      <w:r w:rsidR="00721532" w:rsidRPr="000C5937">
        <w:rPr>
          <w:rFonts w:eastAsia="Times New Roman"/>
          <w:color w:val="000000"/>
          <w:szCs w:val="24"/>
        </w:rPr>
        <w:t xml:space="preserve"> perception of the LMX relationship with a BLM supervisor can serve as an explanation for </w:t>
      </w:r>
      <w:r w:rsidR="00721532" w:rsidRPr="00402C7F">
        <w:rPr>
          <w:rFonts w:eastAsia="Times New Roman"/>
          <w:i/>
          <w:color w:val="000000"/>
          <w:szCs w:val="24"/>
        </w:rPr>
        <w:t>why</w:t>
      </w:r>
      <w:r w:rsidR="00721532" w:rsidRPr="000C5937">
        <w:rPr>
          <w:rFonts w:eastAsia="Times New Roman"/>
          <w:color w:val="000000"/>
          <w:szCs w:val="24"/>
        </w:rPr>
        <w:t xml:space="preserve"> supervisor BLM can result in negative outcomes.</w:t>
      </w:r>
      <w:r w:rsidR="00721532">
        <w:rPr>
          <w:rFonts w:eastAsia="Times New Roman"/>
          <w:color w:val="000000"/>
          <w:szCs w:val="24"/>
        </w:rPr>
        <w:t xml:space="preserve"> </w:t>
      </w:r>
      <w:r w:rsidR="0099582C">
        <w:t>Thus</w:t>
      </w:r>
      <w:r w:rsidR="00721532">
        <w:t>, our work also contributes to the literature by establishing an indirect link between supervisor BLM and lower employee task performance. This is a critical connection to uncover, given the BLM supervisor’s primary focus would seemingly be to have employees perform at higher rather than lower levels.</w:t>
      </w:r>
      <w:r w:rsidR="00710373">
        <w:t xml:space="preserve"> Relatedly then, our work expands the </w:t>
      </w:r>
      <w:r w:rsidR="00710373">
        <w:lastRenderedPageBreak/>
        <w:t xml:space="preserve">current nomological network of BLM by identifying these organizationally relevant consequences of supervisor BLM, low LMX and lower employee performance. </w:t>
      </w:r>
      <w:r w:rsidR="00721532">
        <w:t xml:space="preserve"> </w:t>
      </w:r>
    </w:p>
    <w:p w14:paraId="19F300EF" w14:textId="5888D876" w:rsidR="00171FD6" w:rsidRPr="00B851FD" w:rsidRDefault="00171FD6" w:rsidP="008D6F39">
      <w:pPr>
        <w:spacing w:line="480" w:lineRule="auto"/>
        <w:ind w:firstLine="720"/>
        <w:rPr>
          <w:rFonts w:eastAsia="Times New Roman"/>
          <w:color w:val="000000"/>
          <w:szCs w:val="24"/>
        </w:rPr>
      </w:pPr>
      <w:r w:rsidRPr="00B851FD">
        <w:rPr>
          <w:rFonts w:eastAsia="Times New Roman"/>
          <w:color w:val="000000"/>
          <w:szCs w:val="24"/>
        </w:rPr>
        <w:t xml:space="preserve">Second, </w:t>
      </w:r>
      <w:r w:rsidR="00893AB8" w:rsidRPr="00B851FD">
        <w:rPr>
          <w:rFonts w:eastAsia="Times New Roman"/>
          <w:color w:val="000000"/>
          <w:szCs w:val="24"/>
        </w:rPr>
        <w:t xml:space="preserve">our work </w:t>
      </w:r>
      <w:r w:rsidRPr="00B851FD">
        <w:rPr>
          <w:rFonts w:eastAsia="Times New Roman"/>
          <w:color w:val="000000"/>
          <w:szCs w:val="24"/>
        </w:rPr>
        <w:t>contribute</w:t>
      </w:r>
      <w:r w:rsidR="00893AB8" w:rsidRPr="00B851FD">
        <w:rPr>
          <w:rFonts w:eastAsia="Times New Roman"/>
          <w:color w:val="000000"/>
          <w:szCs w:val="24"/>
        </w:rPr>
        <w:t xml:space="preserve">s to a </w:t>
      </w:r>
      <w:r w:rsidR="00740898" w:rsidRPr="00B851FD">
        <w:rPr>
          <w:rFonts w:eastAsia="Times New Roman"/>
          <w:color w:val="000000"/>
          <w:szCs w:val="24"/>
        </w:rPr>
        <w:t>broader</w:t>
      </w:r>
      <w:r w:rsidR="00893AB8" w:rsidRPr="00B851FD">
        <w:rPr>
          <w:rFonts w:eastAsia="Times New Roman"/>
          <w:color w:val="000000"/>
          <w:szCs w:val="24"/>
        </w:rPr>
        <w:t xml:space="preserve"> understanding of the </w:t>
      </w:r>
      <w:r w:rsidR="00A130DE" w:rsidRPr="00B851FD">
        <w:rPr>
          <w:rFonts w:eastAsia="Times New Roman"/>
          <w:color w:val="000000"/>
          <w:szCs w:val="24"/>
        </w:rPr>
        <w:t xml:space="preserve">impact of </w:t>
      </w:r>
      <w:r w:rsidR="00097080">
        <w:rPr>
          <w:rFonts w:eastAsia="Times New Roman"/>
          <w:color w:val="000000"/>
          <w:szCs w:val="24"/>
        </w:rPr>
        <w:t>supervisor BLM on employee</w:t>
      </w:r>
      <w:r w:rsidR="00740898" w:rsidRPr="00B851FD">
        <w:rPr>
          <w:rFonts w:eastAsia="Times New Roman"/>
          <w:color w:val="000000"/>
          <w:szCs w:val="24"/>
        </w:rPr>
        <w:t xml:space="preserve"> </w:t>
      </w:r>
      <w:r w:rsidR="00097080">
        <w:rPr>
          <w:rFonts w:eastAsia="Times New Roman"/>
          <w:color w:val="000000"/>
          <w:szCs w:val="24"/>
        </w:rPr>
        <w:t>behavior</w:t>
      </w:r>
      <w:r w:rsidR="00C67575">
        <w:rPr>
          <w:rFonts w:eastAsia="Times New Roman"/>
          <w:color w:val="000000"/>
          <w:szCs w:val="24"/>
        </w:rPr>
        <w:t xml:space="preserve"> </w:t>
      </w:r>
      <w:r w:rsidR="00740898" w:rsidRPr="00B851FD">
        <w:rPr>
          <w:rFonts w:eastAsia="Times New Roman"/>
          <w:color w:val="000000"/>
          <w:szCs w:val="24"/>
        </w:rPr>
        <w:t>in relation to the employees’ own level of BLM. To our knowledge, no other research has empirically examined the interaction between supervisor and employee</w:t>
      </w:r>
      <w:r w:rsidR="00260038" w:rsidRPr="00B851FD">
        <w:rPr>
          <w:rFonts w:eastAsia="Times New Roman"/>
          <w:color w:val="000000"/>
          <w:szCs w:val="24"/>
        </w:rPr>
        <w:t xml:space="preserve"> BLM</w:t>
      </w:r>
      <w:r w:rsidRPr="00B851FD">
        <w:rPr>
          <w:rFonts w:eastAsia="Times New Roman"/>
          <w:color w:val="000000"/>
          <w:szCs w:val="24"/>
        </w:rPr>
        <w:t xml:space="preserve">. </w:t>
      </w:r>
      <w:r w:rsidR="00600F36" w:rsidRPr="00B851FD">
        <w:rPr>
          <w:rFonts w:eastAsia="Times New Roman"/>
          <w:color w:val="000000"/>
          <w:szCs w:val="24"/>
        </w:rPr>
        <w:t>Recent</w:t>
      </w:r>
      <w:r w:rsidRPr="00B851FD">
        <w:rPr>
          <w:rFonts w:eastAsia="Times New Roman"/>
          <w:color w:val="000000"/>
          <w:szCs w:val="24"/>
        </w:rPr>
        <w:t xml:space="preserve"> BLM research calls for an examination of this interaction and suggests low BLM employees may see </w:t>
      </w:r>
      <w:r w:rsidR="0064602A" w:rsidRPr="00B851FD">
        <w:rPr>
          <w:rFonts w:eastAsia="Times New Roman"/>
          <w:color w:val="000000"/>
          <w:szCs w:val="24"/>
        </w:rPr>
        <w:t>themselves as being quite different than their</w:t>
      </w:r>
      <w:r w:rsidRPr="00B851FD">
        <w:rPr>
          <w:rFonts w:eastAsia="Times New Roman"/>
          <w:color w:val="000000"/>
          <w:szCs w:val="24"/>
        </w:rPr>
        <w:t xml:space="preserve"> high</w:t>
      </w:r>
      <w:r w:rsidR="00B3132E">
        <w:rPr>
          <w:rFonts w:eastAsia="Times New Roman"/>
          <w:color w:val="000000"/>
          <w:szCs w:val="24"/>
        </w:rPr>
        <w:t>-</w:t>
      </w:r>
      <w:r w:rsidRPr="00B851FD">
        <w:rPr>
          <w:rFonts w:eastAsia="Times New Roman"/>
          <w:color w:val="000000"/>
          <w:szCs w:val="24"/>
        </w:rPr>
        <w:t>BLM supervisors (Bonner</w:t>
      </w:r>
      <w:r w:rsidR="002759AD" w:rsidRPr="00B851FD">
        <w:rPr>
          <w:rFonts w:eastAsia="Times New Roman"/>
          <w:color w:val="000000"/>
          <w:szCs w:val="24"/>
        </w:rPr>
        <w:t xml:space="preserve"> et al.</w:t>
      </w:r>
      <w:r w:rsidRPr="00B851FD">
        <w:rPr>
          <w:rFonts w:eastAsia="Times New Roman"/>
          <w:color w:val="000000"/>
          <w:szCs w:val="24"/>
        </w:rPr>
        <w:t xml:space="preserve">, </w:t>
      </w:r>
      <w:r w:rsidR="009313DA" w:rsidRPr="00B851FD">
        <w:rPr>
          <w:rFonts w:eastAsia="Times New Roman"/>
          <w:color w:val="000000"/>
          <w:szCs w:val="24"/>
        </w:rPr>
        <w:t>2017</w:t>
      </w:r>
      <w:r w:rsidRPr="00B851FD">
        <w:rPr>
          <w:rFonts w:eastAsia="Times New Roman"/>
          <w:color w:val="000000"/>
          <w:szCs w:val="24"/>
        </w:rPr>
        <w:t xml:space="preserve">). Past research indicates when people have similar </w:t>
      </w:r>
      <w:r w:rsidR="00C24482" w:rsidRPr="00B851FD">
        <w:rPr>
          <w:rFonts w:eastAsia="Times New Roman"/>
          <w:color w:val="000000"/>
          <w:szCs w:val="24"/>
        </w:rPr>
        <w:t>values,</w:t>
      </w:r>
      <w:r w:rsidRPr="00B851FD">
        <w:rPr>
          <w:rFonts w:eastAsia="Times New Roman"/>
          <w:color w:val="000000"/>
          <w:szCs w:val="24"/>
        </w:rPr>
        <w:t xml:space="preserve"> they are more satisfied with one</w:t>
      </w:r>
      <w:r w:rsidR="00600F36" w:rsidRPr="00B851FD">
        <w:rPr>
          <w:rFonts w:eastAsia="Times New Roman"/>
          <w:color w:val="000000"/>
          <w:szCs w:val="24"/>
        </w:rPr>
        <w:t xml:space="preserve"> another interpersonally (Fisher</w:t>
      </w:r>
      <w:r w:rsidRPr="00B851FD">
        <w:rPr>
          <w:rFonts w:eastAsia="Times New Roman"/>
          <w:color w:val="000000"/>
          <w:szCs w:val="24"/>
        </w:rPr>
        <w:t xml:space="preserve"> </w:t>
      </w:r>
      <w:r w:rsidR="00543FCB">
        <w:rPr>
          <w:rFonts w:eastAsia="Times New Roman"/>
          <w:color w:val="000000"/>
          <w:szCs w:val="24"/>
        </w:rPr>
        <w:t>and</w:t>
      </w:r>
      <w:r w:rsidRPr="00B851FD">
        <w:rPr>
          <w:rFonts w:eastAsia="Times New Roman"/>
          <w:color w:val="000000"/>
          <w:szCs w:val="24"/>
        </w:rPr>
        <w:t xml:space="preserve"> Gitelson, 1983)</w:t>
      </w:r>
      <w:r w:rsidR="005F763B">
        <w:rPr>
          <w:rFonts w:eastAsia="Times New Roman"/>
          <w:color w:val="000000"/>
          <w:szCs w:val="24"/>
        </w:rPr>
        <w:t xml:space="preserve">, and LMX research </w:t>
      </w:r>
      <w:r w:rsidR="004642DA">
        <w:rPr>
          <w:rFonts w:eastAsia="Times New Roman"/>
          <w:color w:val="000000"/>
          <w:szCs w:val="24"/>
        </w:rPr>
        <w:t>argues</w:t>
      </w:r>
      <w:r w:rsidR="005F763B">
        <w:rPr>
          <w:rFonts w:eastAsia="Times New Roman"/>
          <w:color w:val="000000"/>
          <w:szCs w:val="24"/>
        </w:rPr>
        <w:t xml:space="preserve"> similarities between leaders and employees influence perceptions of LMX (Dulebohn et al., 2012)</w:t>
      </w:r>
      <w:r w:rsidRPr="00B851FD">
        <w:rPr>
          <w:rFonts w:eastAsia="Times New Roman"/>
          <w:color w:val="000000"/>
          <w:szCs w:val="24"/>
        </w:rPr>
        <w:t xml:space="preserve">. Yet, when values or priorities are different, namely when supervisor BLM is high and employee BLM is low, we observed a significant decline in the </w:t>
      </w:r>
      <w:r w:rsidR="00B851FD" w:rsidRPr="00B851FD">
        <w:rPr>
          <w:rFonts w:eastAsia="Times New Roman"/>
          <w:color w:val="000000"/>
          <w:szCs w:val="24"/>
        </w:rPr>
        <w:t>employees’ perception of the LMX relationship with</w:t>
      </w:r>
      <w:r w:rsidRPr="00B851FD">
        <w:rPr>
          <w:rFonts w:eastAsia="Times New Roman"/>
          <w:color w:val="000000"/>
          <w:szCs w:val="24"/>
        </w:rPr>
        <w:t xml:space="preserve"> their</w:t>
      </w:r>
      <w:r w:rsidR="00B3132E">
        <w:rPr>
          <w:rFonts w:eastAsia="Times New Roman"/>
          <w:color w:val="000000"/>
          <w:szCs w:val="24"/>
        </w:rPr>
        <w:t xml:space="preserve"> high-</w:t>
      </w:r>
      <w:r w:rsidRPr="00B851FD">
        <w:rPr>
          <w:rFonts w:eastAsia="Times New Roman"/>
          <w:color w:val="000000"/>
          <w:szCs w:val="24"/>
        </w:rPr>
        <w:t xml:space="preserve">BLM supervisors. Thus, we find the mediating role of </w:t>
      </w:r>
      <w:r w:rsidR="00B851FD" w:rsidRPr="00B851FD">
        <w:rPr>
          <w:rFonts w:eastAsia="Times New Roman"/>
          <w:color w:val="000000"/>
          <w:szCs w:val="24"/>
        </w:rPr>
        <w:t>LMX perceptions</w:t>
      </w:r>
      <w:r w:rsidRPr="00B851FD">
        <w:rPr>
          <w:rFonts w:eastAsia="Times New Roman"/>
          <w:color w:val="000000"/>
          <w:szCs w:val="24"/>
        </w:rPr>
        <w:t xml:space="preserve"> in explaining the supervisor BLM to performance</w:t>
      </w:r>
      <w:r w:rsidR="00B851FD" w:rsidRPr="00B851FD">
        <w:rPr>
          <w:rFonts w:eastAsia="Times New Roman"/>
          <w:color w:val="000000"/>
          <w:szCs w:val="24"/>
        </w:rPr>
        <w:t xml:space="preserve"> </w:t>
      </w:r>
      <w:r w:rsidRPr="00B851FD">
        <w:rPr>
          <w:rFonts w:eastAsia="Times New Roman"/>
          <w:color w:val="000000"/>
          <w:szCs w:val="24"/>
        </w:rPr>
        <w:t>relationship is strongest when supervisor BLM is high and employee BLM is low.</w:t>
      </w:r>
      <w:r w:rsidR="00893AB8" w:rsidRPr="00B851FD">
        <w:rPr>
          <w:rFonts w:eastAsia="Times New Roman"/>
          <w:color w:val="000000"/>
          <w:szCs w:val="24"/>
        </w:rPr>
        <w:t xml:space="preserve"> </w:t>
      </w:r>
      <w:r w:rsidR="005F763B">
        <w:rPr>
          <w:rFonts w:eastAsia="Times New Roman"/>
          <w:color w:val="000000"/>
          <w:szCs w:val="24"/>
        </w:rPr>
        <w:t>This</w:t>
      </w:r>
      <w:r w:rsidR="004642DA">
        <w:rPr>
          <w:rFonts w:eastAsia="Times New Roman"/>
          <w:color w:val="000000"/>
          <w:szCs w:val="24"/>
        </w:rPr>
        <w:t xml:space="preserve"> work</w:t>
      </w:r>
      <w:r w:rsidR="005F763B">
        <w:rPr>
          <w:rFonts w:eastAsia="Times New Roman"/>
          <w:color w:val="000000"/>
          <w:szCs w:val="24"/>
        </w:rPr>
        <w:t xml:space="preserve"> also contributes to the LMX literature which has called for a greater understanding </w:t>
      </w:r>
      <w:r w:rsidR="00A3365C">
        <w:rPr>
          <w:rFonts w:eastAsia="Times New Roman"/>
          <w:color w:val="000000"/>
          <w:szCs w:val="24"/>
        </w:rPr>
        <w:t>of</w:t>
      </w:r>
      <w:r w:rsidR="005F763B">
        <w:rPr>
          <w:rFonts w:eastAsia="Times New Roman"/>
          <w:color w:val="000000"/>
          <w:szCs w:val="24"/>
        </w:rPr>
        <w:t xml:space="preserve"> the effect of employee-leader similarity on LMX and subsequent outcomes (Dulebohn et al., 2012; Liden et al., 1993).</w:t>
      </w:r>
      <w:r w:rsidR="002C3B7C">
        <w:rPr>
          <w:rFonts w:eastAsia="Times New Roman"/>
          <w:color w:val="000000"/>
          <w:szCs w:val="24"/>
        </w:rPr>
        <w:t xml:space="preserve"> Interestingly, </w:t>
      </w:r>
      <w:r w:rsidR="00FD2EE4">
        <w:rPr>
          <w:rFonts w:eastAsia="Times New Roman"/>
          <w:color w:val="000000"/>
          <w:szCs w:val="24"/>
        </w:rPr>
        <w:t xml:space="preserve">in Study 1, </w:t>
      </w:r>
      <w:r w:rsidR="002C3B7C">
        <w:rPr>
          <w:rFonts w:eastAsia="Times New Roman"/>
          <w:color w:val="000000"/>
          <w:szCs w:val="24"/>
        </w:rPr>
        <w:t>when supervisor and employee BLM is similar</w:t>
      </w:r>
      <w:r w:rsidR="003268E6">
        <w:rPr>
          <w:rFonts w:eastAsia="Times New Roman"/>
          <w:color w:val="000000"/>
          <w:szCs w:val="24"/>
        </w:rPr>
        <w:t>ly high</w:t>
      </w:r>
      <w:r w:rsidR="002C3B7C">
        <w:rPr>
          <w:rFonts w:eastAsia="Times New Roman"/>
          <w:color w:val="000000"/>
          <w:szCs w:val="24"/>
        </w:rPr>
        <w:t xml:space="preserve">, our research demonstrates the negative effect on performance is only buffered, not mitigated—indicating no </w:t>
      </w:r>
      <w:r w:rsidR="00444DEC">
        <w:rPr>
          <w:rFonts w:eastAsia="Times New Roman"/>
          <w:color w:val="000000"/>
          <w:szCs w:val="24"/>
        </w:rPr>
        <w:t>degree</w:t>
      </w:r>
      <w:r w:rsidR="002C3B7C">
        <w:rPr>
          <w:rFonts w:eastAsia="Times New Roman"/>
          <w:color w:val="000000"/>
          <w:szCs w:val="24"/>
        </w:rPr>
        <w:t xml:space="preserve"> of </w:t>
      </w:r>
      <w:r w:rsidR="00662F3B">
        <w:rPr>
          <w:rFonts w:eastAsia="Times New Roman"/>
          <w:color w:val="000000"/>
          <w:szCs w:val="24"/>
        </w:rPr>
        <w:t xml:space="preserve">supervisor </w:t>
      </w:r>
      <w:r w:rsidR="002C3B7C">
        <w:rPr>
          <w:rFonts w:eastAsia="Times New Roman"/>
          <w:color w:val="000000"/>
          <w:szCs w:val="24"/>
        </w:rPr>
        <w:t>BLM seem</w:t>
      </w:r>
      <w:r w:rsidR="00444DEC">
        <w:rPr>
          <w:rFonts w:eastAsia="Times New Roman"/>
          <w:color w:val="000000"/>
          <w:szCs w:val="24"/>
        </w:rPr>
        <w:t>s</w:t>
      </w:r>
      <w:r w:rsidR="002C3B7C">
        <w:rPr>
          <w:rFonts w:eastAsia="Times New Roman"/>
          <w:color w:val="000000"/>
          <w:szCs w:val="24"/>
        </w:rPr>
        <w:t xml:space="preserve"> to be particularly beneficial.</w:t>
      </w:r>
      <w:r w:rsidR="006E46B3">
        <w:rPr>
          <w:rFonts w:eastAsia="Times New Roman"/>
          <w:color w:val="000000"/>
          <w:szCs w:val="24"/>
        </w:rPr>
        <w:t xml:space="preserve"> This could be because employees tend to be more concerned with the interpersonal aspects of the LMX relationship (Huang et al., 2008), aspects </w:t>
      </w:r>
      <w:r w:rsidR="00B3132E">
        <w:rPr>
          <w:rFonts w:eastAsia="Times New Roman"/>
          <w:color w:val="000000"/>
          <w:szCs w:val="24"/>
        </w:rPr>
        <w:t>high-</w:t>
      </w:r>
      <w:r w:rsidR="006E46B3">
        <w:rPr>
          <w:rFonts w:eastAsia="Times New Roman"/>
          <w:color w:val="000000"/>
          <w:szCs w:val="24"/>
        </w:rPr>
        <w:t xml:space="preserve">BLM supervisors would not generally be inclined to address. </w:t>
      </w:r>
    </w:p>
    <w:p w14:paraId="1A779DA1" w14:textId="74728EFA" w:rsidR="00171FD6" w:rsidRPr="00B851FD" w:rsidRDefault="00171FD6" w:rsidP="008D6F39">
      <w:pPr>
        <w:spacing w:line="480" w:lineRule="auto"/>
        <w:ind w:firstLine="720"/>
        <w:rPr>
          <w:rFonts w:eastAsia="Times New Roman"/>
          <w:color w:val="000000"/>
          <w:szCs w:val="24"/>
        </w:rPr>
      </w:pPr>
      <w:r w:rsidRPr="00B851FD">
        <w:rPr>
          <w:rFonts w:eastAsia="Times New Roman"/>
          <w:color w:val="000000"/>
          <w:szCs w:val="24"/>
        </w:rPr>
        <w:lastRenderedPageBreak/>
        <w:t xml:space="preserve">Third, we contribute </w:t>
      </w:r>
      <w:r w:rsidR="00710373">
        <w:rPr>
          <w:rFonts w:eastAsia="Times New Roman"/>
          <w:color w:val="000000"/>
          <w:szCs w:val="24"/>
        </w:rPr>
        <w:t xml:space="preserve">to the LMX literature by identifying a new antecedent that hinders employee-supervisor relationships, supervisor BLM. </w:t>
      </w:r>
      <w:r w:rsidR="00E44D07">
        <w:rPr>
          <w:rFonts w:eastAsia="Times New Roman"/>
          <w:color w:val="000000"/>
          <w:szCs w:val="24"/>
        </w:rPr>
        <w:t xml:space="preserve">In their meta-analysis on antecedents and consequences of LMX, Dulebohn and colleagues noted they “were able to find only five variables representing leader characteristics (i.e., behavior and perceptions)” as antecedents of LMX and that this suggests “that there has not been a great deal of research in this area” (2012: 1741). </w:t>
      </w:r>
      <w:r w:rsidR="00112A1E">
        <w:rPr>
          <w:rFonts w:eastAsia="Times New Roman"/>
          <w:color w:val="000000"/>
          <w:szCs w:val="24"/>
        </w:rPr>
        <w:t xml:space="preserve">Furthermore, it seems the bulk of the literature has identified antecedents that strengthen LMX relationships. </w:t>
      </w:r>
      <w:r w:rsidR="00E44D07">
        <w:rPr>
          <w:rFonts w:eastAsia="Times New Roman"/>
          <w:color w:val="000000"/>
          <w:szCs w:val="24"/>
        </w:rPr>
        <w:t xml:space="preserve">Thus, by demonstrating a new and unique leader characteristic, supervisor BLM, that adversely influences LMX quality, our work </w:t>
      </w:r>
      <w:r w:rsidR="00112A1E">
        <w:rPr>
          <w:rFonts w:eastAsia="Times New Roman"/>
          <w:color w:val="000000"/>
          <w:szCs w:val="24"/>
        </w:rPr>
        <w:t>serves</w:t>
      </w:r>
      <w:r w:rsidR="00E44D07">
        <w:rPr>
          <w:rFonts w:eastAsia="Times New Roman"/>
          <w:color w:val="000000"/>
          <w:szCs w:val="24"/>
        </w:rPr>
        <w:t xml:space="preserve"> to deepen scholars’ understanding</w:t>
      </w:r>
      <w:r w:rsidR="00112A1E">
        <w:rPr>
          <w:rFonts w:eastAsia="Times New Roman"/>
          <w:color w:val="000000"/>
          <w:szCs w:val="24"/>
        </w:rPr>
        <w:t xml:space="preserve"> of an additional</w:t>
      </w:r>
      <w:r w:rsidR="00E44D07">
        <w:rPr>
          <w:rFonts w:eastAsia="Times New Roman"/>
          <w:color w:val="000000"/>
          <w:szCs w:val="24"/>
        </w:rPr>
        <w:t xml:space="preserve"> leader characteristic </w:t>
      </w:r>
      <w:r w:rsidR="00112A1E">
        <w:rPr>
          <w:rFonts w:eastAsia="Times New Roman"/>
          <w:color w:val="000000"/>
          <w:szCs w:val="24"/>
        </w:rPr>
        <w:t xml:space="preserve">as well as those that may have negative effects on </w:t>
      </w:r>
      <w:r w:rsidR="00E44D07">
        <w:rPr>
          <w:rFonts w:eastAsia="Times New Roman"/>
          <w:color w:val="000000"/>
          <w:szCs w:val="24"/>
        </w:rPr>
        <w:t xml:space="preserve">LMX.  </w:t>
      </w:r>
    </w:p>
    <w:p w14:paraId="648CBF16" w14:textId="6224DF7E" w:rsidR="00EC6E84" w:rsidRPr="00B851FD" w:rsidRDefault="00EC6E84" w:rsidP="008D6F39">
      <w:pPr>
        <w:spacing w:line="480" w:lineRule="auto"/>
        <w:rPr>
          <w:i/>
        </w:rPr>
      </w:pPr>
      <w:r w:rsidRPr="00B851FD">
        <w:rPr>
          <w:i/>
        </w:rPr>
        <w:t>Practical Implications</w:t>
      </w:r>
    </w:p>
    <w:p w14:paraId="46B6C541" w14:textId="02035A36" w:rsidR="003062F5" w:rsidRPr="00B851FD" w:rsidRDefault="00EC6E84" w:rsidP="00F32D7C">
      <w:pPr>
        <w:spacing w:line="480" w:lineRule="auto"/>
        <w:ind w:firstLine="720"/>
      </w:pPr>
      <w:r w:rsidRPr="00B851FD">
        <w:t xml:space="preserve">There are </w:t>
      </w:r>
      <w:r w:rsidR="00212F74" w:rsidRPr="00B851FD">
        <w:t>also</w:t>
      </w:r>
      <w:r w:rsidRPr="00B851FD">
        <w:t xml:space="preserve"> practical implications that can be gained from our research. To begin with, </w:t>
      </w:r>
      <w:r w:rsidR="00510FBE" w:rsidRPr="00B851FD">
        <w:t>we demonstrate</w:t>
      </w:r>
      <w:r w:rsidRPr="00B851FD">
        <w:t xml:space="preserve"> supervisor BLM impacts </w:t>
      </w:r>
      <w:r w:rsidR="00B851FD" w:rsidRPr="00B851FD">
        <w:t xml:space="preserve">how employees perceive their supervisors and how they perform under this type of supervision. </w:t>
      </w:r>
      <w:r w:rsidRPr="00B851FD">
        <w:t xml:space="preserve">If supervisors </w:t>
      </w:r>
      <w:r w:rsidR="008D6F39">
        <w:t>operate with a</w:t>
      </w:r>
      <w:r w:rsidRPr="00B851FD">
        <w:t xml:space="preserve"> BLM and </w:t>
      </w:r>
      <w:r w:rsidR="00212F74" w:rsidRPr="00B851FD">
        <w:t>demonstrate</w:t>
      </w:r>
      <w:r w:rsidRPr="00B851FD">
        <w:t xml:space="preserve"> this</w:t>
      </w:r>
      <w:r w:rsidR="00B851FD" w:rsidRPr="00B851FD">
        <w:t xml:space="preserve"> mindset to their </w:t>
      </w:r>
      <w:r w:rsidR="00C67575" w:rsidRPr="00B851FD">
        <w:t>subordinates,</w:t>
      </w:r>
      <w:r w:rsidR="00B851FD" w:rsidRPr="00B851FD">
        <w:t xml:space="preserve"> it </w:t>
      </w:r>
      <w:r w:rsidRPr="00B851FD">
        <w:t xml:space="preserve">will </w:t>
      </w:r>
      <w:r w:rsidR="00CB5AB0">
        <w:t>eventuate</w:t>
      </w:r>
      <w:r w:rsidR="003062F5" w:rsidRPr="00B851FD">
        <w:t xml:space="preserve"> </w:t>
      </w:r>
      <w:r w:rsidR="00CB5AB0">
        <w:t xml:space="preserve">in </w:t>
      </w:r>
      <w:r w:rsidR="00435FED">
        <w:t>lower</w:t>
      </w:r>
      <w:r w:rsidR="00B851FD" w:rsidRPr="00B851FD">
        <w:t xml:space="preserve"> employee performance. This outcome </w:t>
      </w:r>
      <w:r w:rsidR="00C67575">
        <w:t>is</w:t>
      </w:r>
      <w:r w:rsidR="003062F5" w:rsidRPr="00B851FD">
        <w:t xml:space="preserve"> detrimental </w:t>
      </w:r>
      <w:r w:rsidR="004757FD" w:rsidRPr="00B851FD">
        <w:t>for</w:t>
      </w:r>
      <w:r w:rsidR="003062F5" w:rsidRPr="00B851FD">
        <w:t xml:space="preserve"> the organization</w:t>
      </w:r>
      <w:r w:rsidR="008D6F39">
        <w:t>, the supervisor,</w:t>
      </w:r>
      <w:r w:rsidR="00B851FD" w:rsidRPr="00B851FD">
        <w:t xml:space="preserve"> and the employee</w:t>
      </w:r>
      <w:r w:rsidRPr="00B851FD">
        <w:t xml:space="preserve">. </w:t>
      </w:r>
      <w:r w:rsidR="00C67575">
        <w:t>Thus, a</w:t>
      </w:r>
      <w:r w:rsidR="009431BB" w:rsidRPr="00B851FD">
        <w:t xml:space="preserve"> major</w:t>
      </w:r>
      <w:r w:rsidR="003062F5" w:rsidRPr="00B851FD">
        <w:t xml:space="preserve"> implication of </w:t>
      </w:r>
      <w:r w:rsidR="009431BB" w:rsidRPr="00B851FD">
        <w:t>this</w:t>
      </w:r>
      <w:r w:rsidR="003062F5" w:rsidRPr="00B851FD">
        <w:t xml:space="preserve"> research is to stress the negative </w:t>
      </w:r>
      <w:r w:rsidR="000F0079">
        <w:t xml:space="preserve">organizational </w:t>
      </w:r>
      <w:r w:rsidR="00212F74" w:rsidRPr="00B851FD">
        <w:t xml:space="preserve">consequences </w:t>
      </w:r>
      <w:r w:rsidR="00F26A57">
        <w:t xml:space="preserve">that can occur </w:t>
      </w:r>
      <w:r w:rsidR="00212F74" w:rsidRPr="00B851FD">
        <w:t xml:space="preserve">when </w:t>
      </w:r>
      <w:r w:rsidR="00D87F80" w:rsidRPr="00B851FD">
        <w:t>leaders</w:t>
      </w:r>
      <w:r w:rsidR="003062F5" w:rsidRPr="00B851FD">
        <w:t xml:space="preserve"> foster a BLM. Not only should </w:t>
      </w:r>
      <w:r w:rsidR="00D87F80" w:rsidRPr="00B851FD">
        <w:t>leaders</w:t>
      </w:r>
      <w:r w:rsidR="003062F5" w:rsidRPr="00B851FD">
        <w:t xml:space="preserve"> </w:t>
      </w:r>
      <w:r w:rsidR="00C67575">
        <w:t>be wary</w:t>
      </w:r>
      <w:r w:rsidR="003062F5" w:rsidRPr="00B851FD">
        <w:t xml:space="preserve"> of employing such an approach, but organizations should </w:t>
      </w:r>
      <w:r w:rsidR="00AF6023">
        <w:t xml:space="preserve">also </w:t>
      </w:r>
      <w:r w:rsidR="003062F5" w:rsidRPr="00B851FD">
        <w:t xml:space="preserve">be </w:t>
      </w:r>
      <w:r w:rsidR="00C67575">
        <w:t xml:space="preserve">aware </w:t>
      </w:r>
      <w:r w:rsidR="003062F5" w:rsidRPr="00B851FD">
        <w:t xml:space="preserve">emphasizing bottom-line outcomes </w:t>
      </w:r>
      <w:r w:rsidR="00C67575">
        <w:t xml:space="preserve">will result in </w:t>
      </w:r>
      <w:r w:rsidR="00794B00" w:rsidRPr="00B851FD">
        <w:t>the neglect of</w:t>
      </w:r>
      <w:r w:rsidR="003062F5" w:rsidRPr="00B851FD">
        <w:t xml:space="preserve"> other important organizational concerns</w:t>
      </w:r>
      <w:r w:rsidR="009431BB" w:rsidRPr="00B851FD">
        <w:t>, such as employee well-being</w:t>
      </w:r>
      <w:r w:rsidR="008D6F39">
        <w:t xml:space="preserve"> and ethical standards</w:t>
      </w:r>
      <w:r w:rsidR="003062F5" w:rsidRPr="00B851FD">
        <w:t xml:space="preserve">. </w:t>
      </w:r>
    </w:p>
    <w:p w14:paraId="3C6C9ECA" w14:textId="38E2B547" w:rsidR="003062F5" w:rsidRPr="00330BBC" w:rsidRDefault="00212F74" w:rsidP="00F32D7C">
      <w:pPr>
        <w:spacing w:line="480" w:lineRule="auto"/>
      </w:pPr>
      <w:r w:rsidRPr="00B851FD">
        <w:tab/>
      </w:r>
      <w:r w:rsidR="00CB4905" w:rsidRPr="00330BBC">
        <w:t>Supervisors undoubtedly face heavy scrutiny for the performance levels of their employees</w:t>
      </w:r>
      <w:r w:rsidR="00780676" w:rsidRPr="00330BBC">
        <w:t>, and as such they</w:t>
      </w:r>
      <w:r w:rsidR="00CB4905" w:rsidRPr="00330BBC">
        <w:t xml:space="preserve"> may </w:t>
      </w:r>
      <w:r w:rsidR="00510FBE" w:rsidRPr="00330BBC">
        <w:t>tend to</w:t>
      </w:r>
      <w:r w:rsidR="00CB4905" w:rsidRPr="00330BBC">
        <w:t xml:space="preserve"> emphasize </w:t>
      </w:r>
      <w:r w:rsidR="00F76A02" w:rsidRPr="00330BBC">
        <w:t xml:space="preserve">the need for employees to pursue </w:t>
      </w:r>
      <w:r w:rsidR="00CB4905" w:rsidRPr="00330BBC">
        <w:t>bottom-line outcomes at the exclusion of other competing priorities such as</w:t>
      </w:r>
      <w:r w:rsidR="00780676" w:rsidRPr="00330BBC">
        <w:t xml:space="preserve"> </w:t>
      </w:r>
      <w:r w:rsidR="001E6C67" w:rsidRPr="00330BBC">
        <w:t xml:space="preserve">ethical practices, </w:t>
      </w:r>
      <w:r w:rsidR="00CB4905" w:rsidRPr="00330BBC">
        <w:t>personal development</w:t>
      </w:r>
      <w:r w:rsidR="00F76A02" w:rsidRPr="00330BBC">
        <w:t xml:space="preserve"> or </w:t>
      </w:r>
      <w:r w:rsidR="00780676" w:rsidRPr="00330BBC">
        <w:t xml:space="preserve">building </w:t>
      </w:r>
      <w:r w:rsidR="00F76A02" w:rsidRPr="00330BBC">
        <w:t xml:space="preserve">social connections in the workplace. However, in </w:t>
      </w:r>
      <w:r w:rsidR="00C66469" w:rsidRPr="00330BBC">
        <w:t>doing so</w:t>
      </w:r>
      <w:r w:rsidR="00F76A02" w:rsidRPr="00330BBC">
        <w:t xml:space="preserve"> they may </w:t>
      </w:r>
      <w:r w:rsidR="00C66469" w:rsidRPr="00330BBC">
        <w:lastRenderedPageBreak/>
        <w:t>have to suffer the consequence of</w:t>
      </w:r>
      <w:r w:rsidR="000F0079">
        <w:t xml:space="preserve"> reduced</w:t>
      </w:r>
      <w:r w:rsidR="00C66469" w:rsidRPr="00330BBC">
        <w:t xml:space="preserve"> employee </w:t>
      </w:r>
      <w:r w:rsidR="00B851FD" w:rsidRPr="00330BBC">
        <w:t>respect, loyalty, and even liking. Even more importantly</w:t>
      </w:r>
      <w:r w:rsidR="006221DA" w:rsidRPr="00330BBC">
        <w:t>,</w:t>
      </w:r>
      <w:r w:rsidR="00B851FD" w:rsidRPr="00330BBC">
        <w:t xml:space="preserve"> </w:t>
      </w:r>
      <w:r w:rsidR="00330BBC" w:rsidRPr="00330BBC">
        <w:t>having such a singular focus</w:t>
      </w:r>
      <w:r w:rsidR="000F0079">
        <w:t>ed</w:t>
      </w:r>
      <w:r w:rsidR="00330BBC" w:rsidRPr="00330BBC">
        <w:t xml:space="preserve"> management approach</w:t>
      </w:r>
      <w:r w:rsidR="00B851FD" w:rsidRPr="00330BBC">
        <w:t xml:space="preserve"> </w:t>
      </w:r>
      <w:r w:rsidR="002C3B7C">
        <w:t>results</w:t>
      </w:r>
      <w:r w:rsidR="000F0079" w:rsidRPr="00330BBC">
        <w:t xml:space="preserve"> </w:t>
      </w:r>
      <w:r w:rsidR="00B851FD" w:rsidRPr="00330BBC">
        <w:t>in lower employee performance.</w:t>
      </w:r>
      <w:r w:rsidR="00C66469" w:rsidRPr="00330BBC">
        <w:t xml:space="preserve"> </w:t>
      </w:r>
      <w:r w:rsidR="007F0DF0" w:rsidRPr="00330BBC">
        <w:t xml:space="preserve">Hence, </w:t>
      </w:r>
      <w:r w:rsidR="00330BBC" w:rsidRPr="00330BBC">
        <w:t>managers</w:t>
      </w:r>
      <w:r w:rsidR="007F0DF0" w:rsidRPr="00330BBC">
        <w:t xml:space="preserve"> should be </w:t>
      </w:r>
      <w:r w:rsidR="00C66469" w:rsidRPr="00330BBC">
        <w:t xml:space="preserve">acutely </w:t>
      </w:r>
      <w:r w:rsidR="007F0DF0" w:rsidRPr="00330BBC">
        <w:t>aware of the message they pass along to employees when they tout bottom-line profits as the most important consideration.</w:t>
      </w:r>
      <w:r w:rsidR="00602C67" w:rsidRPr="00330BBC">
        <w:t xml:space="preserve"> Additionally, our results indicate even when an employee </w:t>
      </w:r>
      <w:r w:rsidR="00435FED">
        <w:t>has a higher</w:t>
      </w:r>
      <w:r w:rsidR="00602C67" w:rsidRPr="00330BBC">
        <w:t xml:space="preserve"> BLM</w:t>
      </w:r>
      <w:r w:rsidR="00C511F6" w:rsidRPr="00330BBC">
        <w:t>,</w:t>
      </w:r>
      <w:r w:rsidR="00602C67" w:rsidRPr="00330BBC">
        <w:t xml:space="preserve"> negative consequences (though somewhat mitigated</w:t>
      </w:r>
      <w:r w:rsidR="00330BBC">
        <w:t xml:space="preserve"> as compared to low BLM employees</w:t>
      </w:r>
      <w:r w:rsidR="00602C67" w:rsidRPr="00330BBC">
        <w:t xml:space="preserve">) are </w:t>
      </w:r>
      <w:r w:rsidR="0064602A" w:rsidRPr="00330BBC">
        <w:t xml:space="preserve">still </w:t>
      </w:r>
      <w:r w:rsidR="00602C67" w:rsidRPr="00330BBC">
        <w:t xml:space="preserve">likely to occur in the presence of a </w:t>
      </w:r>
      <w:r w:rsidR="00B3132E">
        <w:t>high-</w:t>
      </w:r>
      <w:r w:rsidR="0064602A" w:rsidRPr="00330BBC">
        <w:t xml:space="preserve">BLM </w:t>
      </w:r>
      <w:r w:rsidR="00602C67" w:rsidRPr="00330BBC">
        <w:t>supervisor. It seems</w:t>
      </w:r>
      <w:r w:rsidR="005C5E36">
        <w:t xml:space="preserve"> </w:t>
      </w:r>
      <w:r w:rsidR="00602C67" w:rsidRPr="00330BBC">
        <w:t xml:space="preserve">even if employees maintain a </w:t>
      </w:r>
      <w:proofErr w:type="gramStart"/>
      <w:r w:rsidR="00602C67" w:rsidRPr="00330BBC">
        <w:t>BLM</w:t>
      </w:r>
      <w:proofErr w:type="gramEnd"/>
      <w:r w:rsidR="004818FF" w:rsidRPr="00330BBC">
        <w:t xml:space="preserve"> </w:t>
      </w:r>
      <w:r w:rsidR="00602C67" w:rsidRPr="00330BBC">
        <w:t xml:space="preserve">they would prefer for their </w:t>
      </w:r>
      <w:r w:rsidR="00330BBC">
        <w:t>manager</w:t>
      </w:r>
      <w:r w:rsidR="000F0079">
        <w:t>s</w:t>
      </w:r>
      <w:r w:rsidR="00602C67" w:rsidRPr="00330BBC">
        <w:t xml:space="preserve"> to fo</w:t>
      </w:r>
      <w:r w:rsidR="00330BBC">
        <w:t xml:space="preserve">cus on </w:t>
      </w:r>
      <w:r w:rsidR="000F0079">
        <w:t xml:space="preserve">interpersonal </w:t>
      </w:r>
      <w:r w:rsidR="00330BBC">
        <w:t>aspects</w:t>
      </w:r>
      <w:r w:rsidR="002C3B7C">
        <w:t xml:space="preserve"> of the job</w:t>
      </w:r>
      <w:r w:rsidR="00330BBC">
        <w:t xml:space="preserve"> </w:t>
      </w:r>
      <w:r w:rsidR="000F0079">
        <w:t>that</w:t>
      </w:r>
      <w:r w:rsidR="00330BBC">
        <w:t xml:space="preserve"> foster</w:t>
      </w:r>
      <w:r w:rsidR="00602C67" w:rsidRPr="00330BBC">
        <w:t xml:space="preserve"> healthier </w:t>
      </w:r>
      <w:r w:rsidR="00330BBC">
        <w:t>social exchange</w:t>
      </w:r>
      <w:r w:rsidR="00602C67" w:rsidRPr="00330BBC">
        <w:t xml:space="preserve"> relationship</w:t>
      </w:r>
      <w:r w:rsidR="00330BBC">
        <w:t>s with their employees</w:t>
      </w:r>
      <w:r w:rsidR="000F0079">
        <w:t xml:space="preserve"> (Huang et al., 2008) in addition to the bottom line</w:t>
      </w:r>
      <w:r w:rsidR="00602C67" w:rsidRPr="00330BBC">
        <w:t xml:space="preserve">.  </w:t>
      </w:r>
    </w:p>
    <w:p w14:paraId="33D9105C" w14:textId="6C51345D" w:rsidR="00EC6E84" w:rsidRPr="00B851FD" w:rsidRDefault="00212F74" w:rsidP="00F32D7C">
      <w:pPr>
        <w:spacing w:line="480" w:lineRule="auto"/>
        <w:ind w:firstLine="720"/>
      </w:pPr>
      <w:r w:rsidRPr="00330BBC">
        <w:t>Finally, organizations and supervisors should consider how they might overcome</w:t>
      </w:r>
      <w:r w:rsidRPr="006D4AC0">
        <w:t xml:space="preserve"> </w:t>
      </w:r>
      <w:r w:rsidR="00EC6E84" w:rsidRPr="006D4AC0">
        <w:t>the negative influence of BLM.</w:t>
      </w:r>
      <w:r w:rsidR="00B64B12" w:rsidRPr="006D4AC0">
        <w:t xml:space="preserve"> If</w:t>
      </w:r>
      <w:r w:rsidR="006A2E3F" w:rsidRPr="006D4AC0">
        <w:t xml:space="preserve"> organization</w:t>
      </w:r>
      <w:r w:rsidR="00B64B12" w:rsidRPr="006D4AC0">
        <w:t>s desire</w:t>
      </w:r>
      <w:r w:rsidR="006A2E3F" w:rsidRPr="006D4AC0">
        <w:t xml:space="preserve"> supervisors to focus more on the bottom line at the exclusion of alternative interests, which would denote a BLM, </w:t>
      </w:r>
      <w:r w:rsidR="006D4AC0" w:rsidRPr="006D4AC0">
        <w:t>th</w:t>
      </w:r>
      <w:r w:rsidR="006D4AC0">
        <w:t>e</w:t>
      </w:r>
      <w:r w:rsidR="006D4AC0" w:rsidRPr="006D4AC0">
        <w:t xml:space="preserve">n </w:t>
      </w:r>
      <w:r w:rsidR="006A2E3F" w:rsidRPr="006D4AC0">
        <w:t>organization</w:t>
      </w:r>
      <w:r w:rsidR="00B64B12" w:rsidRPr="006D4AC0">
        <w:t>s</w:t>
      </w:r>
      <w:r w:rsidR="006A2E3F" w:rsidRPr="006D4AC0">
        <w:t xml:space="preserve"> </w:t>
      </w:r>
      <w:r w:rsidR="00B64B12" w:rsidRPr="006D4AC0">
        <w:t>will need to compensate</w:t>
      </w:r>
      <w:r w:rsidR="001B396C" w:rsidRPr="006D4AC0">
        <w:t xml:space="preserve"> </w:t>
      </w:r>
      <w:r w:rsidR="006A2E3F" w:rsidRPr="006D4AC0">
        <w:t xml:space="preserve">for the negative impact of supervisor BLM </w:t>
      </w:r>
      <w:r w:rsidR="00B64B12" w:rsidRPr="006D4AC0">
        <w:t>in</w:t>
      </w:r>
      <w:r w:rsidR="006A2E3F" w:rsidRPr="006D4AC0">
        <w:t xml:space="preserve"> other </w:t>
      </w:r>
      <w:r w:rsidR="00B64B12" w:rsidRPr="006D4AC0">
        <w:t>ways</w:t>
      </w:r>
      <w:r w:rsidR="006A2E3F" w:rsidRPr="006D4AC0">
        <w:t xml:space="preserve"> to</w:t>
      </w:r>
      <w:r w:rsidR="006A2E3F" w:rsidRPr="00B851FD">
        <w:t xml:space="preserve"> ensure employees </w:t>
      </w:r>
      <w:r w:rsidR="00B851FD" w:rsidRPr="00B851FD">
        <w:t>do not have low LMX perceptions</w:t>
      </w:r>
      <w:r w:rsidR="006A2E3F" w:rsidRPr="00B851FD">
        <w:t xml:space="preserve">. </w:t>
      </w:r>
      <w:r w:rsidR="006D4AC0">
        <w:t>O</w:t>
      </w:r>
      <w:r w:rsidR="00B64B12" w:rsidRPr="00B851FD">
        <w:t xml:space="preserve">rganizations </w:t>
      </w:r>
      <w:r w:rsidR="006D4AC0">
        <w:t>that</w:t>
      </w:r>
      <w:r w:rsidR="00B64B12" w:rsidRPr="00B851FD">
        <w:t xml:space="preserve"> need to emphasize bottom-line outcomes </w:t>
      </w:r>
      <w:r w:rsidR="006D4AC0">
        <w:t>should</w:t>
      </w:r>
      <w:r w:rsidR="00B64B12" w:rsidRPr="00B851FD">
        <w:t xml:space="preserve"> pair the BLM management style with other management approaches that </w:t>
      </w:r>
      <w:r w:rsidR="006D4AC0">
        <w:t>research shows</w:t>
      </w:r>
      <w:r w:rsidR="00B64B12" w:rsidRPr="00B851FD">
        <w:t xml:space="preserve"> produce positive results in the areas where BLM induce</w:t>
      </w:r>
      <w:r w:rsidR="006D4AC0">
        <w:t>s</w:t>
      </w:r>
      <w:r w:rsidR="00B64B12" w:rsidRPr="00B851FD">
        <w:t xml:space="preserve"> negative consequences. </w:t>
      </w:r>
      <w:r w:rsidR="00515DF3" w:rsidRPr="00B851FD">
        <w:t xml:space="preserve">One way organizations might be able to do this is to emphasize </w:t>
      </w:r>
      <w:r w:rsidR="006D4AC0">
        <w:t xml:space="preserve">to their </w:t>
      </w:r>
      <w:r w:rsidR="00873B60" w:rsidRPr="00B851FD">
        <w:t>supervisors</w:t>
      </w:r>
      <w:r w:rsidR="00330BBC">
        <w:t xml:space="preserve"> </w:t>
      </w:r>
      <w:r w:rsidR="00330BBC" w:rsidRPr="00B851FD">
        <w:t>the importance</w:t>
      </w:r>
      <w:r w:rsidR="00873B60" w:rsidRPr="00B851FD">
        <w:t xml:space="preserve"> </w:t>
      </w:r>
      <w:r w:rsidR="006D4AC0">
        <w:t xml:space="preserve">of </w:t>
      </w:r>
      <w:r w:rsidR="00873B60" w:rsidRPr="00B851FD">
        <w:t>practicing</w:t>
      </w:r>
      <w:r w:rsidR="00515DF3" w:rsidRPr="00B851FD">
        <w:t xml:space="preserve"> ethical leadership </w:t>
      </w:r>
      <w:r w:rsidR="008557AA">
        <w:t>as well as a BLM</w:t>
      </w:r>
      <w:r w:rsidR="00515DF3" w:rsidRPr="00B851FD">
        <w:t xml:space="preserve">. </w:t>
      </w:r>
      <w:r w:rsidR="00780676" w:rsidRPr="00B851FD">
        <w:t xml:space="preserve">Research shows </w:t>
      </w:r>
      <w:r w:rsidR="00780676" w:rsidRPr="00B851FD">
        <w:rPr>
          <w:szCs w:val="24"/>
        </w:rPr>
        <w:t>e</w:t>
      </w:r>
      <w:r w:rsidR="00873B60" w:rsidRPr="00B851FD">
        <w:rPr>
          <w:szCs w:val="24"/>
        </w:rPr>
        <w:t>thical leaders</w:t>
      </w:r>
      <w:r w:rsidR="00780676" w:rsidRPr="00B851FD">
        <w:rPr>
          <w:szCs w:val="24"/>
        </w:rPr>
        <w:t>hip</w:t>
      </w:r>
      <w:r w:rsidR="00873B60" w:rsidRPr="00B851FD">
        <w:rPr>
          <w:szCs w:val="24"/>
        </w:rPr>
        <w:t xml:space="preserve"> </w:t>
      </w:r>
      <w:r w:rsidR="00780676" w:rsidRPr="00B851FD">
        <w:rPr>
          <w:szCs w:val="24"/>
        </w:rPr>
        <w:t>is</w:t>
      </w:r>
      <w:r w:rsidR="00873B60" w:rsidRPr="00B851FD">
        <w:rPr>
          <w:szCs w:val="24"/>
        </w:rPr>
        <w:t xml:space="preserve"> linked to </w:t>
      </w:r>
      <w:r w:rsidR="002F4A8F">
        <w:rPr>
          <w:szCs w:val="24"/>
        </w:rPr>
        <w:t>higher levels of LMX (Walumbwa</w:t>
      </w:r>
      <w:r w:rsidR="008F2797">
        <w:rPr>
          <w:szCs w:val="24"/>
        </w:rPr>
        <w:t xml:space="preserve"> et al.</w:t>
      </w:r>
      <w:r w:rsidR="002F4A8F">
        <w:rPr>
          <w:szCs w:val="24"/>
        </w:rPr>
        <w:t>, 2011)</w:t>
      </w:r>
      <w:r w:rsidR="005C5E36">
        <w:rPr>
          <w:szCs w:val="24"/>
        </w:rPr>
        <w:t xml:space="preserve"> and </w:t>
      </w:r>
      <w:r w:rsidR="00515DF3" w:rsidRPr="00B851FD">
        <w:t>increased levels of employee job performance (</w:t>
      </w:r>
      <w:r w:rsidR="002F4A8F">
        <w:t>Bonner</w:t>
      </w:r>
      <w:r w:rsidR="00543FCB">
        <w:t xml:space="preserve"> et al.</w:t>
      </w:r>
      <w:r w:rsidR="002F4A8F">
        <w:t xml:space="preserve">, 2016; </w:t>
      </w:r>
      <w:r w:rsidR="00515DF3" w:rsidRPr="00B851FD">
        <w:t>Piccolo</w:t>
      </w:r>
      <w:r w:rsidR="00543FCB">
        <w:t xml:space="preserve"> et al.</w:t>
      </w:r>
      <w:r w:rsidR="00515DF3" w:rsidRPr="00B851FD">
        <w:t>, 2010)</w:t>
      </w:r>
      <w:r w:rsidR="00873B60" w:rsidRPr="00B851FD">
        <w:rPr>
          <w:szCs w:val="24"/>
        </w:rPr>
        <w:t xml:space="preserve">. </w:t>
      </w:r>
      <w:r w:rsidR="002B798C" w:rsidRPr="00B851FD">
        <w:rPr>
          <w:szCs w:val="24"/>
        </w:rPr>
        <w:t>Thus, pairing a BLM with ethical leadership may offset some of the negative consequences produced by a supervisor’s high BLM</w:t>
      </w:r>
      <w:r w:rsidR="00EF1B62" w:rsidRPr="00B851FD">
        <w:rPr>
          <w:szCs w:val="24"/>
        </w:rPr>
        <w:t>, which could be tied to a BLM supervisor’s natural tendency to overlook ethical considerations</w:t>
      </w:r>
      <w:r w:rsidR="002B798C" w:rsidRPr="00B851FD">
        <w:rPr>
          <w:szCs w:val="24"/>
        </w:rPr>
        <w:t>.</w:t>
      </w:r>
    </w:p>
    <w:p w14:paraId="29556B9F" w14:textId="77777777" w:rsidR="00EC6E84" w:rsidRPr="00F84BFD" w:rsidRDefault="00EC6E84" w:rsidP="00F32D7C">
      <w:pPr>
        <w:spacing w:line="480" w:lineRule="auto"/>
        <w:rPr>
          <w:i/>
        </w:rPr>
      </w:pPr>
      <w:r w:rsidRPr="00F84BFD">
        <w:rPr>
          <w:i/>
        </w:rPr>
        <w:t>Limitations and Future Directions</w:t>
      </w:r>
    </w:p>
    <w:p w14:paraId="03053D22" w14:textId="3E0BA920" w:rsidR="002C3B7C" w:rsidRDefault="00EC6E84" w:rsidP="002C3B7C">
      <w:pPr>
        <w:spacing w:line="480" w:lineRule="auto"/>
        <w:rPr>
          <w:szCs w:val="24"/>
        </w:rPr>
      </w:pPr>
      <w:r w:rsidRPr="00F84BFD">
        <w:rPr>
          <w:b/>
        </w:rPr>
        <w:lastRenderedPageBreak/>
        <w:tab/>
      </w:r>
      <w:r w:rsidR="009E5E73" w:rsidRPr="00F84BFD">
        <w:rPr>
          <w:szCs w:val="24"/>
        </w:rPr>
        <w:t xml:space="preserve">Our research findings should be considered in light of </w:t>
      </w:r>
      <w:r w:rsidR="00B64B12" w:rsidRPr="00F84BFD">
        <w:rPr>
          <w:szCs w:val="24"/>
        </w:rPr>
        <w:t>certain</w:t>
      </w:r>
      <w:r w:rsidR="009E5E73" w:rsidRPr="00F84BFD">
        <w:rPr>
          <w:szCs w:val="24"/>
        </w:rPr>
        <w:t xml:space="preserve"> limitations.</w:t>
      </w:r>
      <w:r w:rsidR="001E6C67" w:rsidRPr="00F84BFD">
        <w:rPr>
          <w:szCs w:val="24"/>
        </w:rPr>
        <w:t xml:space="preserve"> </w:t>
      </w:r>
      <w:r w:rsidR="004C1320">
        <w:rPr>
          <w:szCs w:val="24"/>
        </w:rPr>
        <w:t>Alt</w:t>
      </w:r>
      <w:r w:rsidR="00B7062A">
        <w:rPr>
          <w:szCs w:val="24"/>
        </w:rPr>
        <w:t xml:space="preserve">hough </w:t>
      </w:r>
      <w:r w:rsidR="00A85ABE">
        <w:rPr>
          <w:szCs w:val="24"/>
        </w:rPr>
        <w:t>our</w:t>
      </w:r>
      <w:r w:rsidR="004C1320">
        <w:rPr>
          <w:szCs w:val="24"/>
        </w:rPr>
        <w:t xml:space="preserve"> study</w:t>
      </w:r>
      <w:r w:rsidR="001E6C67" w:rsidRPr="00F84BFD">
        <w:rPr>
          <w:szCs w:val="24"/>
        </w:rPr>
        <w:t xml:space="preserve"> design </w:t>
      </w:r>
      <w:r w:rsidR="00A85ABE">
        <w:rPr>
          <w:szCs w:val="24"/>
        </w:rPr>
        <w:t xml:space="preserve">produced respondents representing a wide range of industries, helping to </w:t>
      </w:r>
      <w:r w:rsidR="001E6C67" w:rsidRPr="00F84BFD">
        <w:rPr>
          <w:szCs w:val="24"/>
        </w:rPr>
        <w:t xml:space="preserve">provide generalizable evidence of our study results, it does not account for the differences that may exist if this model were analyzed within a single organization or in a specific industry where BLMs are especially prevalent and perhaps even seen as necessary. </w:t>
      </w:r>
      <w:r w:rsidR="00260038" w:rsidRPr="00F84BFD">
        <w:rPr>
          <w:szCs w:val="24"/>
        </w:rPr>
        <w:t>Additionally, there could be other factors that impact an employee</w:t>
      </w:r>
      <w:r w:rsidR="00083455">
        <w:rPr>
          <w:szCs w:val="24"/>
        </w:rPr>
        <w:t>’</w:t>
      </w:r>
      <w:r w:rsidR="00260038" w:rsidRPr="00F84BFD">
        <w:rPr>
          <w:szCs w:val="24"/>
        </w:rPr>
        <w:t xml:space="preserve">s </w:t>
      </w:r>
      <w:r w:rsidR="00F84BFD" w:rsidRPr="00F84BFD">
        <w:rPr>
          <w:szCs w:val="24"/>
        </w:rPr>
        <w:t>LMX perception of the supervisor</w:t>
      </w:r>
      <w:r w:rsidR="00260038" w:rsidRPr="00F84BFD">
        <w:rPr>
          <w:szCs w:val="24"/>
        </w:rPr>
        <w:t>, which are not accounted for in our model. For example, employees’ experience</w:t>
      </w:r>
      <w:r w:rsidR="00FC6A0A">
        <w:rPr>
          <w:szCs w:val="24"/>
        </w:rPr>
        <w:t>s</w:t>
      </w:r>
      <w:r w:rsidR="00260038" w:rsidRPr="00F84BFD">
        <w:rPr>
          <w:szCs w:val="24"/>
        </w:rPr>
        <w:t xml:space="preserve"> with prior supervisors in their career</w:t>
      </w:r>
      <w:r w:rsidR="008557AA">
        <w:rPr>
          <w:szCs w:val="24"/>
        </w:rPr>
        <w:t>s</w:t>
      </w:r>
      <w:r w:rsidR="00260038" w:rsidRPr="00F84BFD">
        <w:rPr>
          <w:szCs w:val="24"/>
        </w:rPr>
        <w:t xml:space="preserve"> who did or did not manage </w:t>
      </w:r>
      <w:r w:rsidR="008557AA">
        <w:rPr>
          <w:szCs w:val="24"/>
        </w:rPr>
        <w:t>with</w:t>
      </w:r>
      <w:r w:rsidR="00260038" w:rsidRPr="00F84BFD">
        <w:rPr>
          <w:szCs w:val="24"/>
        </w:rPr>
        <w:t xml:space="preserve"> a BLM </w:t>
      </w:r>
      <w:r w:rsidR="00B7062A">
        <w:rPr>
          <w:szCs w:val="24"/>
        </w:rPr>
        <w:t>c</w:t>
      </w:r>
      <w:r w:rsidR="008557AA">
        <w:rPr>
          <w:szCs w:val="24"/>
        </w:rPr>
        <w:t>ould</w:t>
      </w:r>
      <w:r w:rsidR="008557AA" w:rsidRPr="00F84BFD">
        <w:rPr>
          <w:szCs w:val="24"/>
        </w:rPr>
        <w:t xml:space="preserve"> affect</w:t>
      </w:r>
      <w:r w:rsidR="00260038" w:rsidRPr="00F84BFD">
        <w:rPr>
          <w:szCs w:val="24"/>
        </w:rPr>
        <w:t xml:space="preserve"> their response to their current supervisors’ BLM. Finally, though we collected time-lagged data in a design that aligns with other extant research, our ability to infer any </w:t>
      </w:r>
      <w:r w:rsidR="008557AA">
        <w:rPr>
          <w:szCs w:val="24"/>
        </w:rPr>
        <w:t>strong</w:t>
      </w:r>
      <w:r w:rsidR="00260038" w:rsidRPr="00F84BFD">
        <w:rPr>
          <w:szCs w:val="24"/>
        </w:rPr>
        <w:t xml:space="preserve"> causal relationship</w:t>
      </w:r>
      <w:r w:rsidR="00EC0CAC">
        <w:rPr>
          <w:szCs w:val="24"/>
        </w:rPr>
        <w:t>s</w:t>
      </w:r>
      <w:r w:rsidR="00260038" w:rsidRPr="00F84BFD">
        <w:rPr>
          <w:szCs w:val="24"/>
        </w:rPr>
        <w:t xml:space="preserve"> between </w:t>
      </w:r>
      <w:r w:rsidR="00EC0CAC">
        <w:rPr>
          <w:szCs w:val="24"/>
        </w:rPr>
        <w:t xml:space="preserve">supervisor BLM and employees’ LMX perceptions or </w:t>
      </w:r>
      <w:r w:rsidR="00260038" w:rsidRPr="00F84BFD">
        <w:rPr>
          <w:szCs w:val="24"/>
        </w:rPr>
        <w:t>e</w:t>
      </w:r>
      <w:r w:rsidR="00F84BFD" w:rsidRPr="00F84BFD">
        <w:rPr>
          <w:szCs w:val="24"/>
        </w:rPr>
        <w:t>mployees’ LMX perceptions and their subsequent performance</w:t>
      </w:r>
      <w:r w:rsidR="00EC0CAC">
        <w:rPr>
          <w:szCs w:val="24"/>
        </w:rPr>
        <w:t xml:space="preserve"> is limited</w:t>
      </w:r>
      <w:r w:rsidR="00260038" w:rsidRPr="00F84BFD">
        <w:rPr>
          <w:szCs w:val="24"/>
        </w:rPr>
        <w:t xml:space="preserve">. However, our theoretical arguments </w:t>
      </w:r>
      <w:r w:rsidR="00A85ABE">
        <w:rPr>
          <w:szCs w:val="24"/>
        </w:rPr>
        <w:t xml:space="preserve">do </w:t>
      </w:r>
      <w:r w:rsidR="00260038" w:rsidRPr="00F84BFD">
        <w:rPr>
          <w:szCs w:val="24"/>
        </w:rPr>
        <w:t xml:space="preserve">support the direction of our hypothesized relationships. </w:t>
      </w:r>
      <w:r w:rsidR="00F84BFD" w:rsidRPr="0020622D">
        <w:rPr>
          <w:szCs w:val="24"/>
        </w:rPr>
        <w:t xml:space="preserve">Indeed, </w:t>
      </w:r>
      <w:r w:rsidR="00961762">
        <w:rPr>
          <w:szCs w:val="24"/>
        </w:rPr>
        <w:t>leadership styles typically precede LMX ratings (Henderson</w:t>
      </w:r>
      <w:r w:rsidR="00543FCB">
        <w:rPr>
          <w:szCs w:val="24"/>
        </w:rPr>
        <w:t xml:space="preserve"> et al.</w:t>
      </w:r>
      <w:r w:rsidR="00961762">
        <w:rPr>
          <w:szCs w:val="24"/>
        </w:rPr>
        <w:t xml:space="preserve">, 2009) and </w:t>
      </w:r>
      <w:r w:rsidR="00F84BFD" w:rsidRPr="0020622D">
        <w:rPr>
          <w:szCs w:val="24"/>
        </w:rPr>
        <w:t xml:space="preserve">meta-analytic evidence </w:t>
      </w:r>
      <w:r w:rsidR="00FC6A0A" w:rsidRPr="0020622D">
        <w:rPr>
          <w:szCs w:val="24"/>
        </w:rPr>
        <w:t>reveal</w:t>
      </w:r>
      <w:r w:rsidR="00FC6A0A">
        <w:rPr>
          <w:szCs w:val="24"/>
        </w:rPr>
        <w:t>s</w:t>
      </w:r>
      <w:r w:rsidR="00FC6A0A" w:rsidRPr="0020622D">
        <w:rPr>
          <w:szCs w:val="24"/>
        </w:rPr>
        <w:t xml:space="preserve"> </w:t>
      </w:r>
      <w:r w:rsidR="00F84BFD" w:rsidRPr="0020622D">
        <w:rPr>
          <w:szCs w:val="24"/>
        </w:rPr>
        <w:t>performance does not precede LMX (</w:t>
      </w:r>
      <w:r w:rsidR="00276BF7">
        <w:rPr>
          <w:szCs w:val="24"/>
        </w:rPr>
        <w:t>Martin et al.</w:t>
      </w:r>
      <w:r w:rsidR="00BD5A82" w:rsidRPr="0020622D">
        <w:rPr>
          <w:szCs w:val="24"/>
        </w:rPr>
        <w:t>, 2016</w:t>
      </w:r>
      <w:r w:rsidR="00F84BFD" w:rsidRPr="0020622D">
        <w:rPr>
          <w:szCs w:val="24"/>
        </w:rPr>
        <w:t>)</w:t>
      </w:r>
      <w:r w:rsidR="00FC6A0A">
        <w:rPr>
          <w:szCs w:val="24"/>
        </w:rPr>
        <w:t xml:space="preserve">; therefore, it is reasonable to expect </w:t>
      </w:r>
      <w:r w:rsidR="00961762">
        <w:rPr>
          <w:szCs w:val="24"/>
        </w:rPr>
        <w:t xml:space="preserve">supervisor BLM should precede </w:t>
      </w:r>
      <w:r w:rsidR="00FC6A0A">
        <w:rPr>
          <w:szCs w:val="24"/>
        </w:rPr>
        <w:t>LMX</w:t>
      </w:r>
      <w:r w:rsidR="00961762">
        <w:rPr>
          <w:szCs w:val="24"/>
        </w:rPr>
        <w:t>, which</w:t>
      </w:r>
      <w:r w:rsidR="00FC6A0A">
        <w:rPr>
          <w:szCs w:val="24"/>
        </w:rPr>
        <w:t xml:space="preserve"> should precede performance</w:t>
      </w:r>
      <w:r w:rsidR="00F84BFD" w:rsidRPr="0020622D">
        <w:rPr>
          <w:szCs w:val="24"/>
        </w:rPr>
        <w:t>.</w:t>
      </w:r>
      <w:r w:rsidR="00F84BFD" w:rsidRPr="00F84BFD">
        <w:rPr>
          <w:szCs w:val="24"/>
        </w:rPr>
        <w:t xml:space="preserve"> </w:t>
      </w:r>
      <w:r w:rsidR="002C3B7C">
        <w:rPr>
          <w:szCs w:val="24"/>
        </w:rPr>
        <w:t>Additionally, there are alternative avenues that could be explored in relation to different conceptualizations of LMX as a construct in relation to BLM. Liden and Maslyn (1998) operationalize LMX according to four dimension</w:t>
      </w:r>
      <w:r w:rsidR="008E7682">
        <w:rPr>
          <w:szCs w:val="24"/>
        </w:rPr>
        <w:t>s</w:t>
      </w:r>
      <w:r w:rsidR="002C3B7C">
        <w:rPr>
          <w:szCs w:val="24"/>
        </w:rPr>
        <w:t xml:space="preserve"> that include affect, loyalty, contribution and professional respect. Whereas we chose not to pursue it as a path in our research, future work could examine how each of these aspects of LMX might be influenced more specifically by employee perceptions of supervisor BLM.</w:t>
      </w:r>
      <w:r w:rsidR="002C3B7C" w:rsidRPr="00F84BFD">
        <w:rPr>
          <w:szCs w:val="24"/>
        </w:rPr>
        <w:t xml:space="preserve"> </w:t>
      </w:r>
    </w:p>
    <w:p w14:paraId="4D0E7034" w14:textId="4608E85F" w:rsidR="00EC6E84" w:rsidRPr="00867E10" w:rsidRDefault="002C3B7C" w:rsidP="000D3767">
      <w:pPr>
        <w:spacing w:line="480" w:lineRule="auto"/>
        <w:ind w:firstLine="720"/>
        <w:rPr>
          <w:szCs w:val="24"/>
          <w:highlight w:val="yellow"/>
        </w:rPr>
      </w:pPr>
      <w:r>
        <w:rPr>
          <w:szCs w:val="24"/>
        </w:rPr>
        <w:t xml:space="preserve">Prior research has also argued supervisor BLM can potentially lead to employee BLM (Greenbaum et al. 2012); whereas our work does not </w:t>
      </w:r>
      <w:r w:rsidR="002F3A19">
        <w:rPr>
          <w:szCs w:val="24"/>
        </w:rPr>
        <w:t>account for this possibility</w:t>
      </w:r>
      <w:r>
        <w:rPr>
          <w:szCs w:val="24"/>
        </w:rPr>
        <w:t xml:space="preserve">, it is conceivable </w:t>
      </w:r>
      <w:r>
        <w:rPr>
          <w:szCs w:val="24"/>
        </w:rPr>
        <w:lastRenderedPageBreak/>
        <w:t xml:space="preserve">that an alternative model that examines this path could be investigated. </w:t>
      </w:r>
      <w:r w:rsidR="00B5276A">
        <w:rPr>
          <w:szCs w:val="24"/>
        </w:rPr>
        <w:t xml:space="preserve">For example, perhaps employees with a BLM are poor social exchange partners in the minds of their coworkers. </w:t>
      </w:r>
      <w:r w:rsidR="00260038" w:rsidRPr="00F84BFD">
        <w:rPr>
          <w:szCs w:val="24"/>
        </w:rPr>
        <w:t xml:space="preserve">While </w:t>
      </w:r>
      <w:r w:rsidR="00285724" w:rsidRPr="00F84BFD">
        <w:rPr>
          <w:szCs w:val="24"/>
        </w:rPr>
        <w:t xml:space="preserve">we believe </w:t>
      </w:r>
      <w:r w:rsidR="00260038" w:rsidRPr="00F84BFD">
        <w:rPr>
          <w:szCs w:val="24"/>
        </w:rPr>
        <w:t>our study provide</w:t>
      </w:r>
      <w:r w:rsidR="00F84BFD" w:rsidRPr="00F84BFD">
        <w:rPr>
          <w:szCs w:val="24"/>
        </w:rPr>
        <w:t>s</w:t>
      </w:r>
      <w:r w:rsidR="00285724" w:rsidRPr="00F84BFD">
        <w:rPr>
          <w:szCs w:val="24"/>
        </w:rPr>
        <w:t xml:space="preserve"> generalizable results that demonstra</w:t>
      </w:r>
      <w:r w:rsidR="00260038" w:rsidRPr="00F84BFD">
        <w:rPr>
          <w:szCs w:val="24"/>
        </w:rPr>
        <w:t>te the perils of supervisor BLM, future research would benefit from additional studies of thi</w:t>
      </w:r>
      <w:r w:rsidR="00F84BFD" w:rsidRPr="00F84BFD">
        <w:rPr>
          <w:szCs w:val="24"/>
        </w:rPr>
        <w:t>s model</w:t>
      </w:r>
      <w:r>
        <w:rPr>
          <w:szCs w:val="24"/>
        </w:rPr>
        <w:t xml:space="preserve"> (and alternatives)</w:t>
      </w:r>
      <w:r w:rsidR="00F84BFD" w:rsidRPr="00F84BFD">
        <w:rPr>
          <w:szCs w:val="24"/>
        </w:rPr>
        <w:t xml:space="preserve"> using experimental data</w:t>
      </w:r>
      <w:r w:rsidR="00083455">
        <w:rPr>
          <w:szCs w:val="24"/>
        </w:rPr>
        <w:t>, longitudinal data,</w:t>
      </w:r>
      <w:r w:rsidR="00F84BFD" w:rsidRPr="00F84BFD">
        <w:rPr>
          <w:szCs w:val="24"/>
        </w:rPr>
        <w:t xml:space="preserve"> or</w:t>
      </w:r>
      <w:r w:rsidR="00260038" w:rsidRPr="00F84BFD">
        <w:rPr>
          <w:szCs w:val="24"/>
        </w:rPr>
        <w:t xml:space="preserve"> samples</w:t>
      </w:r>
      <w:r w:rsidR="00F84BFD" w:rsidRPr="00F84BFD">
        <w:rPr>
          <w:szCs w:val="24"/>
        </w:rPr>
        <w:t xml:space="preserve"> from a</w:t>
      </w:r>
      <w:r w:rsidR="001A1B2F">
        <w:rPr>
          <w:szCs w:val="24"/>
        </w:rPr>
        <w:t>n</w:t>
      </w:r>
      <w:r w:rsidR="00F84BFD" w:rsidRPr="00F84BFD">
        <w:rPr>
          <w:szCs w:val="24"/>
        </w:rPr>
        <w:t xml:space="preserve"> organization </w:t>
      </w:r>
      <w:r w:rsidR="00260038" w:rsidRPr="00F84BFD">
        <w:rPr>
          <w:szCs w:val="24"/>
        </w:rPr>
        <w:t>or in an industry whe</w:t>
      </w:r>
      <w:r w:rsidR="00F41DFE" w:rsidRPr="00F84BFD">
        <w:rPr>
          <w:szCs w:val="24"/>
        </w:rPr>
        <w:t>re BLM is especially prevalent</w:t>
      </w:r>
      <w:r>
        <w:rPr>
          <w:szCs w:val="24"/>
        </w:rPr>
        <w:t xml:space="preserve"> that can help to further establish causal relationships suggested in our model</w:t>
      </w:r>
      <w:r w:rsidRPr="00F84BFD">
        <w:rPr>
          <w:szCs w:val="24"/>
        </w:rPr>
        <w:t>.</w:t>
      </w:r>
      <w:r w:rsidR="000D3767">
        <w:rPr>
          <w:szCs w:val="24"/>
        </w:rPr>
        <w:t xml:space="preserve"> </w:t>
      </w:r>
    </w:p>
    <w:p w14:paraId="7A35E53B" w14:textId="4413DC4B" w:rsidR="000D3767" w:rsidRDefault="0069128C" w:rsidP="000D3767">
      <w:pPr>
        <w:spacing w:line="480" w:lineRule="auto"/>
        <w:ind w:firstLine="720"/>
      </w:pPr>
      <w:r w:rsidRPr="0020622D">
        <w:rPr>
          <w:szCs w:val="24"/>
        </w:rPr>
        <w:t xml:space="preserve">Future research </w:t>
      </w:r>
      <w:r w:rsidR="00EC6E84" w:rsidRPr="0020622D">
        <w:rPr>
          <w:szCs w:val="24"/>
        </w:rPr>
        <w:t xml:space="preserve">would </w:t>
      </w:r>
      <w:r w:rsidR="00F41DFE" w:rsidRPr="0020622D">
        <w:rPr>
          <w:szCs w:val="24"/>
        </w:rPr>
        <w:t xml:space="preserve">also </w:t>
      </w:r>
      <w:r w:rsidR="00EC6E84" w:rsidRPr="0020622D">
        <w:rPr>
          <w:szCs w:val="24"/>
        </w:rPr>
        <w:t xml:space="preserve">benefit greatly from additional </w:t>
      </w:r>
      <w:r w:rsidRPr="0020622D">
        <w:rPr>
          <w:szCs w:val="24"/>
        </w:rPr>
        <w:t>investigations</w:t>
      </w:r>
      <w:r w:rsidR="00EC6E84" w:rsidRPr="0020622D">
        <w:rPr>
          <w:szCs w:val="24"/>
        </w:rPr>
        <w:t xml:space="preserve"> relating to </w:t>
      </w:r>
      <w:r w:rsidRPr="0020622D">
        <w:rPr>
          <w:szCs w:val="24"/>
        </w:rPr>
        <w:t>both antecedents and consequences</w:t>
      </w:r>
      <w:r w:rsidR="00EC6E84" w:rsidRPr="0020622D">
        <w:rPr>
          <w:szCs w:val="24"/>
        </w:rPr>
        <w:t xml:space="preserve"> </w:t>
      </w:r>
      <w:r w:rsidRPr="0020622D">
        <w:rPr>
          <w:szCs w:val="24"/>
        </w:rPr>
        <w:t xml:space="preserve">of </w:t>
      </w:r>
      <w:r w:rsidR="00EC6E84" w:rsidRPr="0020622D">
        <w:rPr>
          <w:szCs w:val="24"/>
        </w:rPr>
        <w:t xml:space="preserve">BLMs. </w:t>
      </w:r>
      <w:r w:rsidR="000D3767">
        <w:rPr>
          <w:szCs w:val="24"/>
        </w:rPr>
        <w:t xml:space="preserve">For example, </w:t>
      </w:r>
      <w:r w:rsidR="000D3767" w:rsidRPr="000D3767">
        <w:rPr>
          <w:szCs w:val="24"/>
        </w:rPr>
        <w:t>individual characteristics that may lead to BLM include Machiavellianism (i.e., a tendency to control people and situations to meet specific outcomes without regard for ethics; Dahling</w:t>
      </w:r>
      <w:r w:rsidR="00543FCB">
        <w:rPr>
          <w:szCs w:val="24"/>
        </w:rPr>
        <w:t xml:space="preserve"> et al.</w:t>
      </w:r>
      <w:r w:rsidR="000D3767" w:rsidRPr="000D3767">
        <w:rPr>
          <w:szCs w:val="24"/>
        </w:rPr>
        <w:t>, 2009) or narcissistic supervisors who tend to care only about their own well-being, admiration, and success (</w:t>
      </w:r>
      <w:r w:rsidR="000D3767" w:rsidRPr="000D3767">
        <w:t xml:space="preserve">Rosenthal </w:t>
      </w:r>
      <w:r w:rsidR="00543FCB">
        <w:t>and</w:t>
      </w:r>
      <w:r w:rsidR="000D3767" w:rsidRPr="000D3767">
        <w:t xml:space="preserve"> Pittinsky, 2006</w:t>
      </w:r>
      <w:r w:rsidR="000D3767" w:rsidRPr="000D3767">
        <w:rPr>
          <w:szCs w:val="24"/>
        </w:rPr>
        <w:t>).</w:t>
      </w:r>
      <w:r w:rsidR="000D3767">
        <w:rPr>
          <w:szCs w:val="24"/>
        </w:rPr>
        <w:t xml:space="preserve"> These individual characteristics likely support self-focused thinking, revolving around the achievement of one’s own priorities to the exclusion of other important priorities, such as ethical consideration or the well-being of others.</w:t>
      </w:r>
      <w:r w:rsidR="000D3767" w:rsidRPr="0020622D">
        <w:rPr>
          <w:szCs w:val="24"/>
        </w:rPr>
        <w:t xml:space="preserve"> Exploring these individual differences as antecedents to BLM could further explain how this mentality develops</w:t>
      </w:r>
      <w:r w:rsidR="000D3767">
        <w:rPr>
          <w:szCs w:val="24"/>
        </w:rPr>
        <w:t xml:space="preserve"> in both supervisors and employees and the more specific behaviors they employ</w:t>
      </w:r>
      <w:r w:rsidR="000D3767" w:rsidRPr="0020622D">
        <w:rPr>
          <w:szCs w:val="24"/>
        </w:rPr>
        <w:t xml:space="preserve">. </w:t>
      </w:r>
      <w:r w:rsidR="000D3767">
        <w:rPr>
          <w:szCs w:val="24"/>
        </w:rPr>
        <w:t xml:space="preserve">Further, the literature would benefit greatly from research that sheds light on the </w:t>
      </w:r>
      <w:r w:rsidR="002F3A19">
        <w:rPr>
          <w:szCs w:val="24"/>
        </w:rPr>
        <w:t>actions of BLM supervisors (i.e., how high BLM supervisors behave towards others)</w:t>
      </w:r>
      <w:r w:rsidR="000D3767">
        <w:rPr>
          <w:szCs w:val="24"/>
        </w:rPr>
        <w:t xml:space="preserve">. Specifically, investigating how </w:t>
      </w:r>
      <w:r w:rsidR="00B3132E">
        <w:rPr>
          <w:szCs w:val="24"/>
        </w:rPr>
        <w:t>high-</w:t>
      </w:r>
      <w:r w:rsidR="000D3767">
        <w:rPr>
          <w:szCs w:val="24"/>
        </w:rPr>
        <w:t xml:space="preserve">BLM supervisors actually behave. For example, the win-lose aspect of a BLM may encourage supervisors to employ a calculative mindset or operate more competitively, which will affect employee-supervisor interactions and employee perceptions of, and attitude toward, </w:t>
      </w:r>
      <w:r w:rsidR="00B3132E">
        <w:rPr>
          <w:szCs w:val="24"/>
        </w:rPr>
        <w:t>high-</w:t>
      </w:r>
      <w:r w:rsidR="000D3767">
        <w:rPr>
          <w:szCs w:val="24"/>
        </w:rPr>
        <w:t xml:space="preserve">BLM </w:t>
      </w:r>
      <w:r w:rsidR="00B3132E">
        <w:rPr>
          <w:szCs w:val="24"/>
        </w:rPr>
        <w:t>supervisors</w:t>
      </w:r>
      <w:r w:rsidR="000D3767">
        <w:rPr>
          <w:szCs w:val="24"/>
        </w:rPr>
        <w:t xml:space="preserve">. All of these are questions that could be uniquely explored through qualitative efforts. We could envision such a study </w:t>
      </w:r>
      <w:r w:rsidR="000D3767">
        <w:rPr>
          <w:szCs w:val="24"/>
        </w:rPr>
        <w:lastRenderedPageBreak/>
        <w:t xml:space="preserve">articulating unique differences in how supervisor BLMs could be exemplified behaviorally in different contexts, levels of an organization, or given different employee capabilities. </w:t>
      </w:r>
      <w:r w:rsidR="000D3767" w:rsidRPr="0020622D">
        <w:t xml:space="preserve">Ultimately, BLM research is still largely in its infancy and </w:t>
      </w:r>
      <w:r w:rsidR="000D3767">
        <w:t xml:space="preserve">thus ripe for rich investigations that can shed light on </w:t>
      </w:r>
      <w:r w:rsidR="000D3767" w:rsidRPr="0020622D">
        <w:t>this important, and potentially damaging phenomenon.</w:t>
      </w:r>
    </w:p>
    <w:p w14:paraId="6E418DC2" w14:textId="77777777" w:rsidR="00EC6E84" w:rsidRPr="0020622D" w:rsidRDefault="00EC6E84" w:rsidP="000D3767">
      <w:pPr>
        <w:spacing w:line="480" w:lineRule="auto"/>
        <w:rPr>
          <w:i/>
        </w:rPr>
      </w:pPr>
      <w:r w:rsidRPr="0020622D">
        <w:rPr>
          <w:i/>
        </w:rPr>
        <w:t>Conclusion</w:t>
      </w:r>
    </w:p>
    <w:p w14:paraId="47EDBE25" w14:textId="77777777" w:rsidR="006152CE" w:rsidRDefault="00EC6E84" w:rsidP="00F32D7C">
      <w:pPr>
        <w:spacing w:line="480" w:lineRule="auto"/>
      </w:pPr>
      <w:r w:rsidRPr="0020622D">
        <w:rPr>
          <w:b/>
        </w:rPr>
        <w:tab/>
      </w:r>
      <w:r w:rsidRPr="0020622D">
        <w:t>Our research provide</w:t>
      </w:r>
      <w:r w:rsidR="00407E39" w:rsidRPr="0020622D">
        <w:t>s</w:t>
      </w:r>
      <w:r w:rsidRPr="0020622D">
        <w:t xml:space="preserve"> evidence supervisors who hold a BLM </w:t>
      </w:r>
      <w:r w:rsidR="00E906DF" w:rsidRPr="0020622D">
        <w:t xml:space="preserve">will be </w:t>
      </w:r>
      <w:r w:rsidR="0020622D" w:rsidRPr="0020622D">
        <w:t xml:space="preserve">perceived as low-quality LMX partners by employees, which </w:t>
      </w:r>
      <w:r w:rsidR="00A85ABE">
        <w:t>results</w:t>
      </w:r>
      <w:r w:rsidR="0020622D" w:rsidRPr="0020622D">
        <w:t xml:space="preserve"> in lower employee performance. Ironically, performance in the organization, because of its connection to the bottom line, would seem to be the </w:t>
      </w:r>
      <w:r w:rsidR="00E85052">
        <w:t>primary</w:t>
      </w:r>
      <w:r w:rsidR="0020622D" w:rsidRPr="0020622D">
        <w:t xml:space="preserve"> thing </w:t>
      </w:r>
      <w:r w:rsidR="00B3132E">
        <w:t>high-</w:t>
      </w:r>
      <w:r w:rsidR="0020622D" w:rsidRPr="0020622D">
        <w:t xml:space="preserve">BLM supervisors would want from their employees. </w:t>
      </w:r>
      <w:r w:rsidR="005752FB" w:rsidRPr="0020622D">
        <w:t xml:space="preserve">These effects are strengthened when employee BLM is low, which signals that </w:t>
      </w:r>
      <w:r w:rsidR="00B7062A">
        <w:t xml:space="preserve">when employee and supervisor attitudes about the bottom line differ it </w:t>
      </w:r>
      <w:r w:rsidR="005752FB" w:rsidRPr="0020622D">
        <w:t xml:space="preserve">can make the </w:t>
      </w:r>
      <w:r w:rsidR="0020622D" w:rsidRPr="0020622D">
        <w:t>LMX</w:t>
      </w:r>
      <w:r w:rsidR="00C93CAC" w:rsidRPr="0020622D">
        <w:t xml:space="preserve"> </w:t>
      </w:r>
      <w:r w:rsidR="005752FB" w:rsidRPr="0020622D">
        <w:t>relationship and its repercussions</w:t>
      </w:r>
      <w:r w:rsidR="00B7062A">
        <w:t xml:space="preserve"> on performance</w:t>
      </w:r>
      <w:r w:rsidR="005752FB" w:rsidRPr="0020622D">
        <w:t xml:space="preserve"> even more damaging. </w:t>
      </w:r>
      <w:r w:rsidR="00F65170" w:rsidRPr="0020622D">
        <w:t>In sum,</w:t>
      </w:r>
      <w:r w:rsidRPr="0020622D">
        <w:t xml:space="preserve"> supervisors should proceed with caution when considering whether to adopt a BLM and should </w:t>
      </w:r>
      <w:r w:rsidR="00DA366B" w:rsidRPr="0020622D">
        <w:t xml:space="preserve">certainly </w:t>
      </w:r>
      <w:r w:rsidRPr="0020622D">
        <w:t xml:space="preserve">consider </w:t>
      </w:r>
      <w:r w:rsidR="00407E39" w:rsidRPr="0020622D">
        <w:t>how such a managerial approach will impact their employees</w:t>
      </w:r>
      <w:r w:rsidRPr="0020622D">
        <w:t>.</w:t>
      </w:r>
    </w:p>
    <w:p w14:paraId="2ACDCE9D" w14:textId="77777777" w:rsidR="006152CE" w:rsidRPr="006152CE" w:rsidRDefault="006152CE" w:rsidP="00F32D7C">
      <w:pPr>
        <w:spacing w:line="480" w:lineRule="auto"/>
        <w:rPr>
          <w:i/>
        </w:rPr>
      </w:pPr>
      <w:r w:rsidRPr="006152CE">
        <w:rPr>
          <w:i/>
        </w:rPr>
        <w:t>Notes</w:t>
      </w:r>
    </w:p>
    <w:p w14:paraId="4DEBDBAD" w14:textId="2DC67406" w:rsidR="006152CE" w:rsidRPr="00336BA7" w:rsidRDefault="006152CE" w:rsidP="006152CE">
      <w:pPr>
        <w:ind w:left="720" w:hanging="720"/>
        <w:rPr>
          <w:szCs w:val="24"/>
        </w:rPr>
      </w:pPr>
      <w:r>
        <w:rPr>
          <w:szCs w:val="24"/>
        </w:rPr>
        <w:t xml:space="preserve">1 </w:t>
      </w:r>
      <w:r>
        <w:rPr>
          <w:szCs w:val="24"/>
        </w:rPr>
        <w:tab/>
      </w:r>
      <w:r w:rsidRPr="00336BA7">
        <w:rPr>
          <w:szCs w:val="24"/>
        </w:rPr>
        <w:t>Our theoretical arguments are built on the assumption that some employees will be either high or low in their own BLM regardless of whether their supervisor maintains a BLM. This is an empirically testable assumption. However, while it has been shown supervisor BLM can influence employee BLM (Greenbaum et al., 2012), to date no research has been conducted to identify the level of agreement of individual BLMs within a workgroup or work dyad. Future research would benefit greatly from such an investigation.</w:t>
      </w:r>
    </w:p>
    <w:p w14:paraId="6C575935" w14:textId="77777777" w:rsidR="006152CE" w:rsidRPr="00336BA7" w:rsidRDefault="006152CE" w:rsidP="006152CE">
      <w:pPr>
        <w:rPr>
          <w:szCs w:val="24"/>
        </w:rPr>
      </w:pPr>
    </w:p>
    <w:p w14:paraId="6E062C87" w14:textId="75343CDB" w:rsidR="006152CE" w:rsidRPr="00336BA7" w:rsidRDefault="006152CE" w:rsidP="006152CE">
      <w:pPr>
        <w:ind w:left="720" w:hanging="720"/>
        <w:rPr>
          <w:szCs w:val="24"/>
        </w:rPr>
      </w:pPr>
      <w:r w:rsidRPr="00336BA7">
        <w:rPr>
          <w:szCs w:val="24"/>
        </w:rPr>
        <w:t xml:space="preserve">2 </w:t>
      </w:r>
      <w:r>
        <w:rPr>
          <w:szCs w:val="24"/>
        </w:rPr>
        <w:tab/>
      </w:r>
      <w:r w:rsidRPr="00336BA7">
        <w:rPr>
          <w:szCs w:val="24"/>
        </w:rPr>
        <w:t>The role of LMX in our model was to assess the level of LMX and the mediating role it plays. We were not interested in the change in LMX and thus we did not control for LMX at Time 1.</w:t>
      </w:r>
    </w:p>
    <w:p w14:paraId="7DE734FE" w14:textId="77777777" w:rsidR="006152CE" w:rsidRPr="00336BA7" w:rsidRDefault="006152CE" w:rsidP="006152CE">
      <w:pPr>
        <w:rPr>
          <w:szCs w:val="24"/>
        </w:rPr>
      </w:pPr>
    </w:p>
    <w:p w14:paraId="52BFAEC8" w14:textId="7D940AAB" w:rsidR="006152CE" w:rsidRPr="00336BA7" w:rsidRDefault="006152CE" w:rsidP="006152CE">
      <w:pPr>
        <w:ind w:left="720" w:hanging="720"/>
        <w:rPr>
          <w:szCs w:val="24"/>
        </w:rPr>
      </w:pPr>
      <w:r w:rsidRPr="00336BA7">
        <w:rPr>
          <w:szCs w:val="24"/>
        </w:rPr>
        <w:t xml:space="preserve">3 </w:t>
      </w:r>
      <w:r>
        <w:rPr>
          <w:szCs w:val="24"/>
        </w:rPr>
        <w:tab/>
      </w:r>
      <w:r w:rsidRPr="008D7214">
        <w:rPr>
          <w:szCs w:val="24"/>
        </w:rPr>
        <w:t>We also collected the exact same measure of LMX (Linden and Maslyn, 1998) from Study 1 in Study 2 and found the pattern of results remain the same when using this measure of LMX in the model.</w:t>
      </w:r>
    </w:p>
    <w:p w14:paraId="5321F1D5" w14:textId="06634EAC" w:rsidR="006953D5" w:rsidRDefault="006953D5" w:rsidP="00F32D7C">
      <w:pPr>
        <w:spacing w:line="480" w:lineRule="auto"/>
        <w:rPr>
          <w:b/>
          <w:szCs w:val="24"/>
        </w:rPr>
      </w:pPr>
      <w:r>
        <w:rPr>
          <w:b/>
          <w:szCs w:val="24"/>
        </w:rPr>
        <w:br w:type="page"/>
      </w:r>
    </w:p>
    <w:p w14:paraId="584751D8" w14:textId="1E09195C" w:rsidR="006953D5" w:rsidRPr="00E52095" w:rsidRDefault="00E52095" w:rsidP="000554F2">
      <w:pPr>
        <w:spacing w:line="480" w:lineRule="exact"/>
        <w:ind w:left="720" w:hanging="720"/>
        <w:contextualSpacing/>
        <w:jc w:val="center"/>
        <w:rPr>
          <w:b/>
          <w:szCs w:val="24"/>
          <w:lang w:eastAsia="ko-KR"/>
        </w:rPr>
      </w:pPr>
      <w:r w:rsidRPr="00E52095">
        <w:rPr>
          <w:b/>
          <w:szCs w:val="24"/>
        </w:rPr>
        <w:lastRenderedPageBreak/>
        <w:t>REFERENCES</w:t>
      </w:r>
    </w:p>
    <w:p w14:paraId="43F32FB3" w14:textId="33F4959A" w:rsidR="003B6494" w:rsidRPr="00FB631F" w:rsidRDefault="003B6494" w:rsidP="000554F2">
      <w:pPr>
        <w:spacing w:line="480" w:lineRule="exact"/>
        <w:ind w:left="720" w:hanging="720"/>
      </w:pPr>
      <w:r w:rsidRPr="00163AC1">
        <w:t>Alper</w:t>
      </w:r>
      <w:r w:rsidR="008B05FE" w:rsidRPr="00163AC1">
        <w:t xml:space="preserve"> </w:t>
      </w:r>
      <w:r w:rsidRPr="00163AC1">
        <w:t>S, Tjosvold</w:t>
      </w:r>
      <w:r w:rsidR="008B05FE" w:rsidRPr="00163AC1">
        <w:t xml:space="preserve"> </w:t>
      </w:r>
      <w:r w:rsidRPr="00163AC1">
        <w:t xml:space="preserve">D </w:t>
      </w:r>
      <w:r w:rsidR="00280EC4" w:rsidRPr="00163AC1">
        <w:t>and</w:t>
      </w:r>
      <w:r w:rsidRPr="00163AC1">
        <w:t xml:space="preserve"> Law K </w:t>
      </w:r>
      <w:r w:rsidR="00FB631F" w:rsidRPr="00163AC1">
        <w:t>(</w:t>
      </w:r>
      <w:r w:rsidRPr="00163AC1">
        <w:t>2000</w:t>
      </w:r>
      <w:r w:rsidR="00FB631F" w:rsidRPr="00163AC1">
        <w:t>)</w:t>
      </w:r>
      <w:r w:rsidRPr="00163AC1">
        <w:t xml:space="preserve"> Conflict management, efficacy, and performance in organizational teams. </w:t>
      </w:r>
      <w:r w:rsidRPr="00163AC1">
        <w:rPr>
          <w:i/>
        </w:rPr>
        <w:t>Personnel Psychology</w:t>
      </w:r>
      <w:r w:rsidRPr="00163AC1">
        <w:t xml:space="preserve"> 53</w:t>
      </w:r>
      <w:r w:rsidR="00280EC4" w:rsidRPr="00163AC1">
        <w:t>(</w:t>
      </w:r>
      <w:r w:rsidR="00163AC1" w:rsidRPr="00163AC1">
        <w:t>3)</w:t>
      </w:r>
      <w:r w:rsidR="00280EC4" w:rsidRPr="00163AC1">
        <w:t>:</w:t>
      </w:r>
      <w:r w:rsidR="0036242B" w:rsidRPr="00163AC1">
        <w:t xml:space="preserve"> </w:t>
      </w:r>
      <w:r w:rsidRPr="00163AC1">
        <w:t>625-42.</w:t>
      </w:r>
      <w:r w:rsidR="00965521" w:rsidRPr="00FB631F">
        <w:t xml:space="preserve"> </w:t>
      </w:r>
    </w:p>
    <w:p w14:paraId="110CFD1C" w14:textId="1E499410" w:rsidR="00B52C5E" w:rsidRDefault="00B52C5E" w:rsidP="000554F2">
      <w:pPr>
        <w:spacing w:line="480" w:lineRule="exact"/>
        <w:ind w:left="720" w:hanging="720"/>
      </w:pPr>
      <w:r w:rsidRPr="00163AC1">
        <w:t xml:space="preserve">Barsky A (2008) Understanding the ethical cost of organizational goal-setting: A review and theory development. </w:t>
      </w:r>
      <w:r w:rsidRPr="00163AC1">
        <w:rPr>
          <w:i/>
        </w:rPr>
        <w:t>Journal of Business Ethics</w:t>
      </w:r>
      <w:r w:rsidRPr="00163AC1">
        <w:t xml:space="preserve"> 81</w:t>
      </w:r>
      <w:r w:rsidR="00163AC1" w:rsidRPr="00163AC1">
        <w:t>(1)</w:t>
      </w:r>
      <w:r w:rsidR="00280EC4" w:rsidRPr="00163AC1">
        <w:t>:</w:t>
      </w:r>
      <w:r w:rsidRPr="00163AC1">
        <w:t xml:space="preserve"> 63–81.</w:t>
      </w:r>
      <w:r w:rsidRPr="003B6494">
        <w:t xml:space="preserve"> </w:t>
      </w:r>
    </w:p>
    <w:p w14:paraId="05F09454" w14:textId="46455B5D" w:rsidR="00683150" w:rsidRDefault="00683150" w:rsidP="000554F2">
      <w:pPr>
        <w:spacing w:line="480" w:lineRule="exact"/>
        <w:ind w:left="720" w:hanging="720"/>
        <w:rPr>
          <w:szCs w:val="24"/>
        </w:rPr>
      </w:pPr>
      <w:r>
        <w:rPr>
          <w:szCs w:val="24"/>
        </w:rPr>
        <w:t xml:space="preserve">Bass B (1985) Leadership: Good, better, best. </w:t>
      </w:r>
      <w:r w:rsidRPr="00683150">
        <w:rPr>
          <w:i/>
          <w:szCs w:val="24"/>
        </w:rPr>
        <w:t>Organizational Dynamics</w:t>
      </w:r>
      <w:r w:rsidRPr="00280EC4">
        <w:rPr>
          <w:szCs w:val="24"/>
        </w:rPr>
        <w:t xml:space="preserve"> 13</w:t>
      </w:r>
      <w:r>
        <w:rPr>
          <w:szCs w:val="24"/>
        </w:rPr>
        <w:t>(3)</w:t>
      </w:r>
      <w:r w:rsidR="00280EC4">
        <w:rPr>
          <w:szCs w:val="24"/>
        </w:rPr>
        <w:t>:</w:t>
      </w:r>
      <w:r>
        <w:rPr>
          <w:szCs w:val="24"/>
        </w:rPr>
        <w:t xml:space="preserve"> 26-40.</w:t>
      </w:r>
    </w:p>
    <w:p w14:paraId="78D60ABE" w14:textId="5752ADEC" w:rsidR="00337869" w:rsidRDefault="00337869" w:rsidP="000554F2">
      <w:pPr>
        <w:spacing w:line="480" w:lineRule="exact"/>
        <w:ind w:left="720" w:hanging="720"/>
        <w:rPr>
          <w:szCs w:val="24"/>
        </w:rPr>
      </w:pPr>
      <w:r>
        <w:rPr>
          <w:szCs w:val="24"/>
        </w:rPr>
        <w:t xml:space="preserve">Bernerth J and Aguinis H (2016) A critical review and best-practice recommendations for control variable usage. </w:t>
      </w:r>
      <w:r w:rsidRPr="000F5465">
        <w:rPr>
          <w:i/>
          <w:szCs w:val="24"/>
        </w:rPr>
        <w:t>Personnel Psychology</w:t>
      </w:r>
      <w:r>
        <w:rPr>
          <w:szCs w:val="24"/>
        </w:rPr>
        <w:t xml:space="preserve"> 69(1): 229-83.</w:t>
      </w:r>
    </w:p>
    <w:p w14:paraId="38133BE3" w14:textId="290B0711" w:rsidR="009A743D" w:rsidRPr="00D604F1" w:rsidRDefault="009A743D" w:rsidP="000554F2">
      <w:pPr>
        <w:spacing w:line="480" w:lineRule="exact"/>
        <w:ind w:left="720" w:hanging="720"/>
        <w:rPr>
          <w:szCs w:val="24"/>
        </w:rPr>
      </w:pPr>
      <w:r w:rsidRPr="00163AC1">
        <w:rPr>
          <w:szCs w:val="24"/>
        </w:rPr>
        <w:t>Bernerth</w:t>
      </w:r>
      <w:r w:rsidR="00280EC4" w:rsidRPr="00163AC1">
        <w:rPr>
          <w:szCs w:val="24"/>
        </w:rPr>
        <w:t xml:space="preserve"> </w:t>
      </w:r>
      <w:r w:rsidRPr="00163AC1">
        <w:rPr>
          <w:szCs w:val="24"/>
        </w:rPr>
        <w:t>J</w:t>
      </w:r>
      <w:r w:rsidR="00280EC4" w:rsidRPr="00163AC1">
        <w:rPr>
          <w:szCs w:val="24"/>
        </w:rPr>
        <w:t>,</w:t>
      </w:r>
      <w:r w:rsidRPr="00163AC1">
        <w:rPr>
          <w:szCs w:val="24"/>
        </w:rPr>
        <w:t xml:space="preserve"> Armenakis A</w:t>
      </w:r>
      <w:r w:rsidR="00280EC4" w:rsidRPr="00163AC1">
        <w:rPr>
          <w:szCs w:val="24"/>
        </w:rPr>
        <w:t>,</w:t>
      </w:r>
      <w:r w:rsidRPr="00163AC1">
        <w:rPr>
          <w:szCs w:val="24"/>
        </w:rPr>
        <w:t xml:space="preserve"> Field H, Giles W </w:t>
      </w:r>
      <w:r w:rsidR="00280EC4" w:rsidRPr="00163AC1">
        <w:rPr>
          <w:szCs w:val="24"/>
        </w:rPr>
        <w:t>and</w:t>
      </w:r>
      <w:r w:rsidRPr="00163AC1">
        <w:rPr>
          <w:szCs w:val="24"/>
        </w:rPr>
        <w:t xml:space="preserve"> Walker H (2007) Leader-member social exchange (LMSX): </w:t>
      </w:r>
      <w:r w:rsidR="007B5599">
        <w:rPr>
          <w:szCs w:val="24"/>
        </w:rPr>
        <w:t>D</w:t>
      </w:r>
      <w:r w:rsidRPr="00163AC1">
        <w:rPr>
          <w:szCs w:val="24"/>
        </w:rPr>
        <w:t xml:space="preserve">evelopment and validation of a scale. </w:t>
      </w:r>
      <w:r w:rsidRPr="00163AC1">
        <w:rPr>
          <w:i/>
          <w:iCs/>
          <w:szCs w:val="24"/>
        </w:rPr>
        <w:t xml:space="preserve">Journal of Organizational Behavior </w:t>
      </w:r>
      <w:r w:rsidRPr="00163AC1">
        <w:rPr>
          <w:iCs/>
          <w:szCs w:val="24"/>
        </w:rPr>
        <w:t>28</w:t>
      </w:r>
      <w:r w:rsidR="00163AC1" w:rsidRPr="00163AC1">
        <w:rPr>
          <w:iCs/>
          <w:szCs w:val="24"/>
        </w:rPr>
        <w:t>(8)</w:t>
      </w:r>
      <w:r w:rsidR="00280EC4" w:rsidRPr="00163AC1">
        <w:rPr>
          <w:szCs w:val="24"/>
        </w:rPr>
        <w:t>:</w:t>
      </w:r>
      <w:r w:rsidRPr="00163AC1">
        <w:rPr>
          <w:szCs w:val="24"/>
        </w:rPr>
        <w:t xml:space="preserve"> 979-1003.</w:t>
      </w:r>
      <w:r w:rsidRPr="00D604F1">
        <w:rPr>
          <w:szCs w:val="24"/>
        </w:rPr>
        <w:t xml:space="preserve"> </w:t>
      </w:r>
    </w:p>
    <w:p w14:paraId="2ACA88A1" w14:textId="73CAC399" w:rsidR="009A743D" w:rsidRDefault="009A743D" w:rsidP="000554F2">
      <w:pPr>
        <w:spacing w:line="480" w:lineRule="exact"/>
        <w:ind w:left="720" w:hanging="720"/>
        <w:rPr>
          <w:szCs w:val="24"/>
        </w:rPr>
      </w:pPr>
      <w:r w:rsidRPr="00163AC1">
        <w:rPr>
          <w:szCs w:val="24"/>
        </w:rPr>
        <w:t>Bernerth J, Cole M, Taylor</w:t>
      </w:r>
      <w:r w:rsidR="00436725" w:rsidRPr="00163AC1">
        <w:rPr>
          <w:szCs w:val="24"/>
        </w:rPr>
        <w:t xml:space="preserve"> E</w:t>
      </w:r>
      <w:r w:rsidRPr="00163AC1">
        <w:rPr>
          <w:szCs w:val="24"/>
        </w:rPr>
        <w:t xml:space="preserve"> </w:t>
      </w:r>
      <w:r w:rsidR="00436725" w:rsidRPr="00163AC1">
        <w:rPr>
          <w:szCs w:val="24"/>
        </w:rPr>
        <w:t>and</w:t>
      </w:r>
      <w:r w:rsidRPr="00163AC1">
        <w:rPr>
          <w:szCs w:val="24"/>
        </w:rPr>
        <w:t xml:space="preserve"> Walker H (2018) Control </w:t>
      </w:r>
      <w:r w:rsidR="007B5599">
        <w:rPr>
          <w:szCs w:val="24"/>
        </w:rPr>
        <w:t>v</w:t>
      </w:r>
      <w:r w:rsidR="007B5599" w:rsidRPr="00163AC1">
        <w:rPr>
          <w:szCs w:val="24"/>
        </w:rPr>
        <w:t xml:space="preserve">ariables </w:t>
      </w:r>
      <w:r w:rsidRPr="00163AC1">
        <w:rPr>
          <w:szCs w:val="24"/>
        </w:rPr>
        <w:t xml:space="preserve">in </w:t>
      </w:r>
      <w:r w:rsidR="007B5599">
        <w:rPr>
          <w:szCs w:val="24"/>
        </w:rPr>
        <w:t>l</w:t>
      </w:r>
      <w:r w:rsidR="007B5599" w:rsidRPr="00163AC1">
        <w:rPr>
          <w:szCs w:val="24"/>
        </w:rPr>
        <w:t xml:space="preserve">eadership </w:t>
      </w:r>
      <w:r w:rsidR="007B5599">
        <w:rPr>
          <w:szCs w:val="24"/>
        </w:rPr>
        <w:t>r</w:t>
      </w:r>
      <w:r w:rsidR="007B5599" w:rsidRPr="00163AC1">
        <w:rPr>
          <w:szCs w:val="24"/>
        </w:rPr>
        <w:t>esearch</w:t>
      </w:r>
      <w:r w:rsidRPr="00163AC1">
        <w:rPr>
          <w:szCs w:val="24"/>
        </w:rPr>
        <w:t xml:space="preserve">: A </w:t>
      </w:r>
      <w:r w:rsidR="007B5599">
        <w:rPr>
          <w:szCs w:val="24"/>
        </w:rPr>
        <w:t>q</w:t>
      </w:r>
      <w:r w:rsidR="007B5599" w:rsidRPr="00163AC1">
        <w:rPr>
          <w:szCs w:val="24"/>
        </w:rPr>
        <w:t xml:space="preserve">ualitative </w:t>
      </w:r>
      <w:r w:rsidRPr="00163AC1">
        <w:rPr>
          <w:szCs w:val="24"/>
        </w:rPr>
        <w:t xml:space="preserve">and </w:t>
      </w:r>
      <w:r w:rsidR="007B5599">
        <w:rPr>
          <w:szCs w:val="24"/>
        </w:rPr>
        <w:t>q</w:t>
      </w:r>
      <w:r w:rsidR="007B5599" w:rsidRPr="00163AC1">
        <w:rPr>
          <w:szCs w:val="24"/>
        </w:rPr>
        <w:t xml:space="preserve">uantitative </w:t>
      </w:r>
      <w:r w:rsidR="007B5599">
        <w:rPr>
          <w:szCs w:val="24"/>
        </w:rPr>
        <w:t>r</w:t>
      </w:r>
      <w:r w:rsidR="007B5599" w:rsidRPr="00163AC1">
        <w:rPr>
          <w:szCs w:val="24"/>
        </w:rPr>
        <w:t>eview</w:t>
      </w:r>
      <w:r w:rsidRPr="00163AC1">
        <w:rPr>
          <w:szCs w:val="24"/>
        </w:rPr>
        <w:t xml:space="preserve">. </w:t>
      </w:r>
      <w:r w:rsidRPr="00163AC1">
        <w:rPr>
          <w:i/>
          <w:iCs/>
          <w:szCs w:val="24"/>
        </w:rPr>
        <w:t>Journal of Management</w:t>
      </w:r>
      <w:r w:rsidRPr="00163AC1">
        <w:rPr>
          <w:iCs/>
          <w:szCs w:val="24"/>
        </w:rPr>
        <w:t xml:space="preserve"> 44</w:t>
      </w:r>
      <w:r w:rsidR="00163AC1" w:rsidRPr="00163AC1">
        <w:rPr>
          <w:iCs/>
          <w:szCs w:val="24"/>
        </w:rPr>
        <w:t>(1)</w:t>
      </w:r>
      <w:r w:rsidR="00436725" w:rsidRPr="00163AC1">
        <w:rPr>
          <w:szCs w:val="24"/>
        </w:rPr>
        <w:t>:</w:t>
      </w:r>
      <w:r w:rsidRPr="00163AC1">
        <w:rPr>
          <w:szCs w:val="24"/>
        </w:rPr>
        <w:t xml:space="preserve"> 131-60.</w:t>
      </w:r>
    </w:p>
    <w:p w14:paraId="0226A102" w14:textId="4E1B9B81" w:rsidR="00F139E3" w:rsidRPr="00FB631F" w:rsidRDefault="00F86873" w:rsidP="000554F2">
      <w:pPr>
        <w:spacing w:line="480" w:lineRule="exact"/>
        <w:ind w:left="720" w:hanging="720"/>
        <w:rPr>
          <w:szCs w:val="24"/>
        </w:rPr>
      </w:pPr>
      <w:r w:rsidRPr="00FB631F">
        <w:rPr>
          <w:szCs w:val="24"/>
        </w:rPr>
        <w:t xml:space="preserve">Blau P </w:t>
      </w:r>
      <w:r w:rsidR="00FB631F">
        <w:rPr>
          <w:szCs w:val="24"/>
        </w:rPr>
        <w:t>(</w:t>
      </w:r>
      <w:r w:rsidRPr="00FB631F">
        <w:rPr>
          <w:szCs w:val="24"/>
        </w:rPr>
        <w:t>1964</w:t>
      </w:r>
      <w:r w:rsidR="00FB631F">
        <w:rPr>
          <w:szCs w:val="24"/>
        </w:rPr>
        <w:t>)</w:t>
      </w:r>
      <w:r w:rsidR="00F139E3" w:rsidRPr="00FB631F">
        <w:rPr>
          <w:szCs w:val="24"/>
        </w:rPr>
        <w:t xml:space="preserve"> </w:t>
      </w:r>
      <w:r w:rsidR="00F139E3" w:rsidRPr="005B0A30">
        <w:rPr>
          <w:i/>
          <w:szCs w:val="24"/>
        </w:rPr>
        <w:t>Exchange and power in social life</w:t>
      </w:r>
      <w:r w:rsidR="00F139E3" w:rsidRPr="00FB631F">
        <w:rPr>
          <w:szCs w:val="24"/>
        </w:rPr>
        <w:t>. New York, NY: Wiley.</w:t>
      </w:r>
    </w:p>
    <w:p w14:paraId="5DF3593A" w14:textId="2307A2DB" w:rsidR="001A5F64" w:rsidRDefault="001A5F64" w:rsidP="000554F2">
      <w:pPr>
        <w:spacing w:line="480" w:lineRule="exact"/>
        <w:ind w:left="720" w:hanging="720"/>
      </w:pPr>
      <w:r w:rsidRPr="00163AC1">
        <w:t>Bonner J, Greenbaum</w:t>
      </w:r>
      <w:r w:rsidR="00436725" w:rsidRPr="00163AC1">
        <w:t xml:space="preserve"> </w:t>
      </w:r>
      <w:r w:rsidRPr="00163AC1">
        <w:t>R</w:t>
      </w:r>
      <w:r w:rsidR="00436725" w:rsidRPr="00163AC1">
        <w:t xml:space="preserve"> and</w:t>
      </w:r>
      <w:r w:rsidRPr="00163AC1">
        <w:t xml:space="preserve"> Mayer D (2016) My boss is morally disengaged: The role of ethical leadership in explaining the interactive effect of supervisor and employee moral disengagement on employee behaviors. </w:t>
      </w:r>
      <w:r w:rsidRPr="00163AC1">
        <w:rPr>
          <w:i/>
          <w:iCs/>
        </w:rPr>
        <w:t>Journal of Business Ethics</w:t>
      </w:r>
      <w:r w:rsidRPr="00163AC1">
        <w:rPr>
          <w:i/>
        </w:rPr>
        <w:t> </w:t>
      </w:r>
      <w:r w:rsidRPr="00163AC1">
        <w:rPr>
          <w:iCs/>
        </w:rPr>
        <w:t>137</w:t>
      </w:r>
      <w:r w:rsidR="00163AC1" w:rsidRPr="00163AC1">
        <w:rPr>
          <w:iCs/>
        </w:rPr>
        <w:t>(4)</w:t>
      </w:r>
      <w:r w:rsidR="00436725" w:rsidRPr="00163AC1">
        <w:t>:</w:t>
      </w:r>
      <w:r w:rsidRPr="00163AC1">
        <w:t xml:space="preserve"> 731-42.</w:t>
      </w:r>
    </w:p>
    <w:p w14:paraId="605E32DE" w14:textId="10F0A9BF" w:rsidR="00136516" w:rsidRPr="00FB631F" w:rsidRDefault="00136516" w:rsidP="000554F2">
      <w:pPr>
        <w:spacing w:line="480" w:lineRule="exact"/>
        <w:ind w:left="720" w:hanging="720"/>
      </w:pPr>
      <w:r w:rsidRPr="00163AC1">
        <w:t>Bonner J, Greenbaum R</w:t>
      </w:r>
      <w:r w:rsidR="00FA2887" w:rsidRPr="00163AC1">
        <w:t xml:space="preserve"> and</w:t>
      </w:r>
      <w:r w:rsidRPr="00163AC1">
        <w:t xml:space="preserve"> Quade M </w:t>
      </w:r>
      <w:r w:rsidR="00FB631F" w:rsidRPr="00163AC1">
        <w:t>(</w:t>
      </w:r>
      <w:r w:rsidR="009313DA" w:rsidRPr="00163AC1">
        <w:t>2017</w:t>
      </w:r>
      <w:r w:rsidR="00FB631F" w:rsidRPr="00163AC1">
        <w:t>)</w:t>
      </w:r>
      <w:r w:rsidRPr="00163AC1">
        <w:rPr>
          <w:rFonts w:hint="eastAsia"/>
        </w:rPr>
        <w:t xml:space="preserve"> </w:t>
      </w:r>
      <w:r w:rsidRPr="00163AC1">
        <w:t>Employee unethical behavior to shame as an indicator of self-image threat and exemplification as a form of self-image protection: The exacerbating role of supervisor bottom-line mentality</w:t>
      </w:r>
      <w:r w:rsidRPr="00163AC1">
        <w:rPr>
          <w:rFonts w:hint="eastAsia"/>
        </w:rPr>
        <w:t>.</w:t>
      </w:r>
      <w:r w:rsidRPr="00163AC1">
        <w:t xml:space="preserve"> </w:t>
      </w:r>
      <w:r w:rsidRPr="00163AC1">
        <w:rPr>
          <w:i/>
          <w:iCs/>
        </w:rPr>
        <w:t>Journal of Applied Psychology</w:t>
      </w:r>
      <w:r w:rsidR="009313DA" w:rsidRPr="00163AC1">
        <w:rPr>
          <w:i/>
        </w:rPr>
        <w:t xml:space="preserve"> </w:t>
      </w:r>
      <w:r w:rsidR="009313DA" w:rsidRPr="00163AC1">
        <w:t>102</w:t>
      </w:r>
      <w:r w:rsidR="00163AC1" w:rsidRPr="00163AC1">
        <w:t>(8)</w:t>
      </w:r>
      <w:r w:rsidR="00FA2887" w:rsidRPr="00163AC1">
        <w:t>:</w:t>
      </w:r>
      <w:r w:rsidR="009313DA" w:rsidRPr="00163AC1">
        <w:t xml:space="preserve"> 1203-21.</w:t>
      </w:r>
    </w:p>
    <w:p w14:paraId="3A39C45A" w14:textId="480879E7" w:rsidR="008A3CFA" w:rsidRPr="00FB631F" w:rsidRDefault="008A3CFA" w:rsidP="000554F2">
      <w:pPr>
        <w:spacing w:line="480" w:lineRule="exact"/>
        <w:ind w:left="720" w:hanging="720"/>
      </w:pPr>
      <w:r w:rsidRPr="003A7390">
        <w:t>Bre</w:t>
      </w:r>
      <w:r w:rsidR="008A0A51" w:rsidRPr="003A7390">
        <w:t>nner S</w:t>
      </w:r>
      <w:r w:rsidR="00FA2887" w:rsidRPr="003A7390">
        <w:t xml:space="preserve"> and</w:t>
      </w:r>
      <w:r w:rsidR="008A0A51" w:rsidRPr="003A7390">
        <w:t xml:space="preserve"> Molander E </w:t>
      </w:r>
      <w:r w:rsidR="00FB631F" w:rsidRPr="003A7390">
        <w:t>(</w:t>
      </w:r>
      <w:r w:rsidRPr="003A7390">
        <w:t>1977</w:t>
      </w:r>
      <w:r w:rsidR="00FB631F" w:rsidRPr="003A7390">
        <w:t>)</w:t>
      </w:r>
      <w:r w:rsidRPr="003A7390">
        <w:t xml:space="preserve"> Is the ethics of business changing? </w:t>
      </w:r>
      <w:r w:rsidRPr="003A7390">
        <w:rPr>
          <w:i/>
        </w:rPr>
        <w:t>Harvard Business Review</w:t>
      </w:r>
      <w:r w:rsidR="00FB631F" w:rsidRPr="003A7390">
        <w:rPr>
          <w:i/>
        </w:rPr>
        <w:t xml:space="preserve"> </w:t>
      </w:r>
      <w:r w:rsidRPr="003A7390">
        <w:t>55</w:t>
      </w:r>
      <w:r w:rsidR="003A7390" w:rsidRPr="003A7390">
        <w:t>(1)</w:t>
      </w:r>
      <w:r w:rsidR="00FA2887" w:rsidRPr="003A7390">
        <w:t>:</w:t>
      </w:r>
      <w:r w:rsidRPr="003A7390">
        <w:t xml:space="preserve"> 57-71.</w:t>
      </w:r>
    </w:p>
    <w:p w14:paraId="2016B9A6" w14:textId="55B33C17" w:rsidR="00AB6524" w:rsidRDefault="00AB6524" w:rsidP="000554F2">
      <w:pPr>
        <w:spacing w:line="480" w:lineRule="exact"/>
        <w:ind w:left="720" w:hanging="720"/>
      </w:pPr>
      <w:r w:rsidRPr="00163AC1">
        <w:t>Brown M, Treviño L</w:t>
      </w:r>
      <w:r w:rsidR="00FA2887" w:rsidRPr="00163AC1">
        <w:t xml:space="preserve"> and</w:t>
      </w:r>
      <w:r w:rsidRPr="00163AC1">
        <w:t xml:space="preserve"> Harrison D (2005) Ethical leadership: A social learning perspective for construct development and testing. </w:t>
      </w:r>
      <w:r w:rsidRPr="00163AC1">
        <w:rPr>
          <w:i/>
        </w:rPr>
        <w:t>Organizational Behavior and Human Decision Processes</w:t>
      </w:r>
      <w:r w:rsidRPr="00163AC1">
        <w:t xml:space="preserve"> 97</w:t>
      </w:r>
      <w:r w:rsidR="00163AC1" w:rsidRPr="00163AC1">
        <w:t>(2)</w:t>
      </w:r>
      <w:r w:rsidR="00FA2887" w:rsidRPr="00163AC1">
        <w:t>:</w:t>
      </w:r>
      <w:r w:rsidRPr="00163AC1">
        <w:t xml:space="preserve"> 117-34.</w:t>
      </w:r>
    </w:p>
    <w:p w14:paraId="7782DB63" w14:textId="638CFAE4" w:rsidR="009C5627" w:rsidRPr="00FB631F" w:rsidRDefault="00F86873" w:rsidP="000554F2">
      <w:pPr>
        <w:spacing w:line="480" w:lineRule="exact"/>
        <w:ind w:left="720" w:hanging="720"/>
      </w:pPr>
      <w:r w:rsidRPr="00FB631F">
        <w:t xml:space="preserve">Byrne D </w:t>
      </w:r>
      <w:r w:rsidR="00FB631F">
        <w:t>(</w:t>
      </w:r>
      <w:r w:rsidRPr="00FB631F">
        <w:t>1971</w:t>
      </w:r>
      <w:r w:rsidR="00FB631F">
        <w:t>)</w:t>
      </w:r>
      <w:r w:rsidR="009C5627" w:rsidRPr="00FB631F">
        <w:t xml:space="preserve"> </w:t>
      </w:r>
      <w:r w:rsidR="009C5627" w:rsidRPr="005B0A30">
        <w:rPr>
          <w:i/>
        </w:rPr>
        <w:t>The attraction paradigm</w:t>
      </w:r>
      <w:r w:rsidR="009C5627" w:rsidRPr="00FB631F">
        <w:t>. New York</w:t>
      </w:r>
      <w:r w:rsidR="00FA2887">
        <w:t>, NY</w:t>
      </w:r>
      <w:r w:rsidR="009C5627" w:rsidRPr="00FB631F">
        <w:t>: Academic Press.</w:t>
      </w:r>
    </w:p>
    <w:p w14:paraId="3EAF22C3" w14:textId="3FC78321" w:rsidR="00706FE0" w:rsidRPr="00FB631F" w:rsidRDefault="00706FE0" w:rsidP="000554F2">
      <w:pPr>
        <w:spacing w:line="480" w:lineRule="exact"/>
        <w:ind w:left="720" w:hanging="720"/>
      </w:pPr>
      <w:r w:rsidRPr="00FB631F">
        <w:lastRenderedPageBreak/>
        <w:t xml:space="preserve">Callahan D </w:t>
      </w:r>
      <w:r w:rsidR="00FB631F">
        <w:t>(</w:t>
      </w:r>
      <w:r w:rsidRPr="00FB631F">
        <w:t>2004</w:t>
      </w:r>
      <w:r w:rsidR="00FB631F">
        <w:t>)</w:t>
      </w:r>
      <w:r w:rsidRPr="00FB631F">
        <w:t xml:space="preserve"> </w:t>
      </w:r>
      <w:r w:rsidRPr="005B0A30">
        <w:rPr>
          <w:i/>
        </w:rPr>
        <w:t>The cheating culture: Why more Americans are doing wrong to get ahead</w:t>
      </w:r>
      <w:r w:rsidRPr="00FB631F">
        <w:t>. Orlando, FL: Harcourt.</w:t>
      </w:r>
    </w:p>
    <w:p w14:paraId="12B5B57E" w14:textId="64E4DAE6" w:rsidR="008D7214" w:rsidRDefault="008D7214" w:rsidP="000554F2">
      <w:pPr>
        <w:spacing w:line="480" w:lineRule="exact"/>
        <w:ind w:left="720" w:hanging="720"/>
        <w:contextualSpacing/>
      </w:pPr>
      <w:r>
        <w:t>Colquitt J, Baer M, Long D and Halvorsen-</w:t>
      </w:r>
      <w:proofErr w:type="spellStart"/>
      <w:r>
        <w:t>Ganepola</w:t>
      </w:r>
      <w:proofErr w:type="spellEnd"/>
      <w:r>
        <w:t xml:space="preserve"> M (2014) Scale indicators of social exchange relationships: A comparison of relative content validity. </w:t>
      </w:r>
      <w:r w:rsidRPr="008D7214">
        <w:rPr>
          <w:i/>
        </w:rPr>
        <w:t>Journal of Applied Psychology</w:t>
      </w:r>
      <w:r>
        <w:t xml:space="preserve"> 99(4): 599-618.</w:t>
      </w:r>
    </w:p>
    <w:p w14:paraId="2278E8F8" w14:textId="7EE783BC" w:rsidR="00F139E3" w:rsidRPr="00AF6023" w:rsidRDefault="00F139E3" w:rsidP="000554F2">
      <w:pPr>
        <w:spacing w:line="480" w:lineRule="exact"/>
        <w:ind w:left="720" w:hanging="720"/>
        <w:contextualSpacing/>
      </w:pPr>
      <w:r w:rsidRPr="00163AC1">
        <w:t>Cro</w:t>
      </w:r>
      <w:r w:rsidR="008A0A51" w:rsidRPr="00163AC1">
        <w:t>panzano R</w:t>
      </w:r>
      <w:r w:rsidR="00FA2887" w:rsidRPr="00163AC1">
        <w:t xml:space="preserve"> and</w:t>
      </w:r>
      <w:r w:rsidR="008A0A51" w:rsidRPr="00163AC1">
        <w:t xml:space="preserve"> Mitchell M </w:t>
      </w:r>
      <w:r w:rsidR="00FB631F" w:rsidRPr="00163AC1">
        <w:t>(</w:t>
      </w:r>
      <w:r w:rsidRPr="00163AC1">
        <w:t>2005</w:t>
      </w:r>
      <w:r w:rsidR="00FB631F" w:rsidRPr="00163AC1">
        <w:t>)</w:t>
      </w:r>
      <w:r w:rsidRPr="00163AC1">
        <w:t xml:space="preserve"> Social exchange theory: An interdisciplinary review. </w:t>
      </w:r>
      <w:r w:rsidRPr="00163AC1">
        <w:rPr>
          <w:i/>
        </w:rPr>
        <w:t xml:space="preserve">Journal of Management </w:t>
      </w:r>
      <w:r w:rsidRPr="00163AC1">
        <w:t>31</w:t>
      </w:r>
      <w:r w:rsidR="00163AC1" w:rsidRPr="00163AC1">
        <w:t>(6)</w:t>
      </w:r>
      <w:r w:rsidR="00FA2887" w:rsidRPr="00163AC1">
        <w:t>:</w:t>
      </w:r>
      <w:r w:rsidRPr="00163AC1">
        <w:t xml:space="preserve"> 874-900.</w:t>
      </w:r>
      <w:r w:rsidR="00965521" w:rsidRPr="007E5B06">
        <w:t xml:space="preserve"> </w:t>
      </w:r>
    </w:p>
    <w:p w14:paraId="514DC8D7" w14:textId="5EFEA04E" w:rsidR="00F9559A" w:rsidRDefault="00F9559A" w:rsidP="000554F2">
      <w:pPr>
        <w:spacing w:line="480" w:lineRule="exact"/>
        <w:ind w:left="720" w:hanging="720"/>
        <w:contextualSpacing/>
      </w:pPr>
      <w:r w:rsidRPr="00163AC1">
        <w:t>Dahling J</w:t>
      </w:r>
      <w:r w:rsidR="00FA2887" w:rsidRPr="00163AC1">
        <w:t>,</w:t>
      </w:r>
      <w:r w:rsidRPr="00163AC1">
        <w:t xml:space="preserve"> Whitaker B</w:t>
      </w:r>
      <w:r w:rsidR="00FA2887" w:rsidRPr="00163AC1">
        <w:t xml:space="preserve"> and</w:t>
      </w:r>
      <w:r w:rsidRPr="00163AC1">
        <w:t xml:space="preserve"> Levy P (2009) The development of a new Machiavellianism scale. </w:t>
      </w:r>
      <w:r w:rsidRPr="00163AC1">
        <w:rPr>
          <w:i/>
        </w:rPr>
        <w:t>Journal of Management</w:t>
      </w:r>
      <w:r w:rsidRPr="00163AC1">
        <w:t xml:space="preserve"> 35</w:t>
      </w:r>
      <w:r w:rsidR="00163AC1" w:rsidRPr="00163AC1">
        <w:t>(2)</w:t>
      </w:r>
      <w:r w:rsidR="00FA2887" w:rsidRPr="00163AC1">
        <w:t>:</w:t>
      </w:r>
      <w:r w:rsidRPr="00163AC1">
        <w:t xml:space="preserve"> 219-57.</w:t>
      </w:r>
    </w:p>
    <w:p w14:paraId="095F0922" w14:textId="2958D7B2" w:rsidR="00683150" w:rsidRPr="00D02AAA" w:rsidRDefault="00683150" w:rsidP="000554F2">
      <w:pPr>
        <w:spacing w:line="480" w:lineRule="exact"/>
        <w:ind w:left="720" w:hanging="720"/>
        <w:contextualSpacing/>
      </w:pPr>
      <w:r w:rsidRPr="00163AC1">
        <w:t>Dansereau F, Graen G</w:t>
      </w:r>
      <w:r w:rsidR="00FA2887" w:rsidRPr="00163AC1">
        <w:t xml:space="preserve"> and</w:t>
      </w:r>
      <w:r w:rsidRPr="00163AC1">
        <w:t xml:space="preserve"> Haga </w:t>
      </w:r>
      <w:r w:rsidR="00DA0B6E" w:rsidRPr="00163AC1">
        <w:t>W</w:t>
      </w:r>
      <w:r w:rsidRPr="00163AC1">
        <w:t xml:space="preserve"> (1975) A vertical dyad linkage approach to leadership within formal organizations: A longitudinal investigation of the role making process. </w:t>
      </w:r>
      <w:r w:rsidRPr="00163AC1">
        <w:rPr>
          <w:i/>
        </w:rPr>
        <w:t>Organizational Behavior and Human Performance</w:t>
      </w:r>
      <w:r w:rsidRPr="00163AC1">
        <w:t xml:space="preserve"> 13</w:t>
      </w:r>
      <w:r w:rsidR="00163AC1" w:rsidRPr="00163AC1">
        <w:t>(1)</w:t>
      </w:r>
      <w:r w:rsidR="00DA0B6E" w:rsidRPr="00163AC1">
        <w:t>:</w:t>
      </w:r>
      <w:r w:rsidRPr="00163AC1">
        <w:t xml:space="preserve"> 46-78.</w:t>
      </w:r>
    </w:p>
    <w:p w14:paraId="187A660A" w14:textId="14E63EE6" w:rsidR="00626A44" w:rsidRDefault="00626A44" w:rsidP="000554F2">
      <w:pPr>
        <w:spacing w:line="480" w:lineRule="exact"/>
        <w:ind w:left="720" w:hanging="720"/>
        <w:contextualSpacing/>
      </w:pPr>
      <w:r w:rsidRPr="00163AC1">
        <w:t>DeWall C, Baumeister R, Mead</w:t>
      </w:r>
      <w:r w:rsidR="00DA0B6E" w:rsidRPr="00163AC1">
        <w:t xml:space="preserve"> </w:t>
      </w:r>
      <w:r w:rsidRPr="00163AC1">
        <w:t>N</w:t>
      </w:r>
      <w:r w:rsidR="00DA0B6E" w:rsidRPr="00163AC1">
        <w:t xml:space="preserve"> and</w:t>
      </w:r>
      <w:r w:rsidRPr="00163AC1">
        <w:t xml:space="preserve"> Vohs K (2011) How leaders self-regulate their task performance: Evidence that power promotes diligence, depletion, and disdain. </w:t>
      </w:r>
      <w:r w:rsidRPr="00163AC1">
        <w:rPr>
          <w:i/>
          <w:iCs/>
        </w:rPr>
        <w:t>Journal of Personality and Social Psychology</w:t>
      </w:r>
      <w:r w:rsidRPr="00163AC1">
        <w:t> </w:t>
      </w:r>
      <w:r w:rsidRPr="00163AC1">
        <w:rPr>
          <w:iCs/>
        </w:rPr>
        <w:t>100</w:t>
      </w:r>
      <w:r w:rsidRPr="00163AC1">
        <w:t>(1)</w:t>
      </w:r>
      <w:r w:rsidR="00DA0B6E" w:rsidRPr="00163AC1">
        <w:t>:</w:t>
      </w:r>
      <w:r w:rsidRPr="00163AC1">
        <w:t xml:space="preserve"> 47</w:t>
      </w:r>
      <w:r w:rsidR="00163AC1" w:rsidRPr="00163AC1">
        <w:t>-65</w:t>
      </w:r>
      <w:r w:rsidRPr="00163AC1">
        <w:t>.</w:t>
      </w:r>
    </w:p>
    <w:p w14:paraId="57438EDC" w14:textId="7EF86477" w:rsidR="004B3C38" w:rsidRDefault="004B3C38" w:rsidP="000554F2">
      <w:pPr>
        <w:spacing w:line="480" w:lineRule="exact"/>
        <w:ind w:left="720" w:hanging="720"/>
        <w:contextualSpacing/>
      </w:pPr>
      <w:r w:rsidRPr="00163AC1">
        <w:t>Dockery T</w:t>
      </w:r>
      <w:r w:rsidR="00DA0B6E" w:rsidRPr="00163AC1">
        <w:t xml:space="preserve"> and</w:t>
      </w:r>
      <w:r w:rsidRPr="00163AC1">
        <w:t xml:space="preserve"> Steiner D (1990) The role of the initial interaction leader-member exchange. </w:t>
      </w:r>
      <w:r w:rsidRPr="00163AC1">
        <w:rPr>
          <w:i/>
        </w:rPr>
        <w:t>Group and Organization Studies</w:t>
      </w:r>
      <w:r w:rsidRPr="00163AC1">
        <w:t xml:space="preserve"> 15</w:t>
      </w:r>
      <w:r w:rsidR="00163AC1" w:rsidRPr="00163AC1">
        <w:t>(4)</w:t>
      </w:r>
      <w:r w:rsidR="00DA0B6E" w:rsidRPr="00163AC1">
        <w:t>:</w:t>
      </w:r>
      <w:r w:rsidRPr="00163AC1">
        <w:t xml:space="preserve"> 395-413.</w:t>
      </w:r>
    </w:p>
    <w:p w14:paraId="3633C0A0" w14:textId="15165CAF" w:rsidR="00253499" w:rsidRPr="00FC6A0A" w:rsidRDefault="00253499" w:rsidP="000554F2">
      <w:pPr>
        <w:spacing w:line="480" w:lineRule="exact"/>
        <w:ind w:left="720" w:hanging="720"/>
        <w:contextualSpacing/>
        <w:rPr>
          <w:szCs w:val="24"/>
        </w:rPr>
      </w:pPr>
      <w:r w:rsidRPr="00163AC1">
        <w:t>Duffy M</w:t>
      </w:r>
      <w:r w:rsidR="008A0A51" w:rsidRPr="00163AC1">
        <w:t>, Ganster D</w:t>
      </w:r>
      <w:r w:rsidR="00DA0B6E" w:rsidRPr="00163AC1">
        <w:t xml:space="preserve"> and</w:t>
      </w:r>
      <w:r w:rsidR="008A0A51" w:rsidRPr="00163AC1">
        <w:t xml:space="preserve"> Pagon M </w:t>
      </w:r>
      <w:r w:rsidR="00FB631F" w:rsidRPr="00163AC1">
        <w:t>(</w:t>
      </w:r>
      <w:r w:rsidRPr="00163AC1">
        <w:t>2002</w:t>
      </w:r>
      <w:r w:rsidR="00FB631F" w:rsidRPr="00163AC1">
        <w:t>)</w:t>
      </w:r>
      <w:r w:rsidRPr="00163AC1">
        <w:t xml:space="preserve"> Social undermining in the </w:t>
      </w:r>
      <w:r w:rsidR="00D267E6" w:rsidRPr="00163AC1">
        <w:t xml:space="preserve">workplace. </w:t>
      </w:r>
      <w:r w:rsidRPr="00163AC1">
        <w:rPr>
          <w:i/>
          <w:iCs/>
        </w:rPr>
        <w:t xml:space="preserve">Academy of </w:t>
      </w:r>
      <w:r w:rsidR="0065340B">
        <w:rPr>
          <w:i/>
          <w:iCs/>
        </w:rPr>
        <w:t>M</w:t>
      </w:r>
      <w:r w:rsidRPr="00163AC1">
        <w:rPr>
          <w:i/>
          <w:iCs/>
        </w:rPr>
        <w:t>anagement Journal</w:t>
      </w:r>
      <w:r w:rsidRPr="00163AC1">
        <w:rPr>
          <w:i/>
        </w:rPr>
        <w:t> </w:t>
      </w:r>
      <w:r w:rsidRPr="00163AC1">
        <w:rPr>
          <w:iCs/>
        </w:rPr>
        <w:t>45</w:t>
      </w:r>
      <w:r w:rsidR="00163AC1" w:rsidRPr="00163AC1">
        <w:rPr>
          <w:iCs/>
        </w:rPr>
        <w:t>(2)</w:t>
      </w:r>
      <w:r w:rsidR="00DA0B6E" w:rsidRPr="00163AC1">
        <w:t>:</w:t>
      </w:r>
      <w:r w:rsidRPr="00163AC1">
        <w:t xml:space="preserve"> 331-51.</w:t>
      </w:r>
      <w:r w:rsidR="00965521" w:rsidRPr="00FC6A0A">
        <w:t xml:space="preserve"> </w:t>
      </w:r>
    </w:p>
    <w:p w14:paraId="37561775" w14:textId="4E8B8575" w:rsidR="009A743D" w:rsidRDefault="009A743D" w:rsidP="000554F2">
      <w:pPr>
        <w:spacing w:line="480" w:lineRule="exact"/>
        <w:ind w:left="720" w:hanging="720"/>
        <w:contextualSpacing/>
        <w:rPr>
          <w:szCs w:val="24"/>
        </w:rPr>
      </w:pPr>
      <w:r w:rsidRPr="00163AC1">
        <w:rPr>
          <w:szCs w:val="24"/>
        </w:rPr>
        <w:t>Dulebohn J, Bommer W</w:t>
      </w:r>
      <w:r w:rsidR="00DA0B6E" w:rsidRPr="00163AC1">
        <w:rPr>
          <w:szCs w:val="24"/>
        </w:rPr>
        <w:t>,</w:t>
      </w:r>
      <w:r w:rsidRPr="00163AC1">
        <w:rPr>
          <w:szCs w:val="24"/>
        </w:rPr>
        <w:t xml:space="preserve"> Liden R, Brouer R</w:t>
      </w:r>
      <w:r w:rsidR="00DA0B6E" w:rsidRPr="00163AC1">
        <w:rPr>
          <w:szCs w:val="24"/>
        </w:rPr>
        <w:t xml:space="preserve"> and</w:t>
      </w:r>
      <w:r w:rsidRPr="00163AC1">
        <w:rPr>
          <w:szCs w:val="24"/>
        </w:rPr>
        <w:t xml:space="preserve"> Ferris G (2012) A </w:t>
      </w:r>
      <w:r w:rsidR="00E26ABD">
        <w:rPr>
          <w:szCs w:val="24"/>
        </w:rPr>
        <w:t>m</w:t>
      </w:r>
      <w:r w:rsidRPr="00163AC1">
        <w:rPr>
          <w:szCs w:val="24"/>
        </w:rPr>
        <w:t>eta-</w:t>
      </w:r>
      <w:r w:rsidR="00E26ABD">
        <w:rPr>
          <w:szCs w:val="24"/>
        </w:rPr>
        <w:t>a</w:t>
      </w:r>
      <w:r w:rsidRPr="00163AC1">
        <w:rPr>
          <w:szCs w:val="24"/>
        </w:rPr>
        <w:t xml:space="preserve">nalysis of </w:t>
      </w:r>
      <w:r w:rsidR="00E26ABD">
        <w:rPr>
          <w:szCs w:val="24"/>
        </w:rPr>
        <w:t>a</w:t>
      </w:r>
      <w:r w:rsidRPr="00163AC1">
        <w:rPr>
          <w:szCs w:val="24"/>
        </w:rPr>
        <w:t xml:space="preserve">ntecedents and </w:t>
      </w:r>
      <w:r w:rsidR="00E26ABD">
        <w:rPr>
          <w:szCs w:val="24"/>
        </w:rPr>
        <w:t>c</w:t>
      </w:r>
      <w:r w:rsidRPr="00163AC1">
        <w:rPr>
          <w:szCs w:val="24"/>
        </w:rPr>
        <w:t xml:space="preserve">onsequences of </w:t>
      </w:r>
      <w:r w:rsidR="00E26ABD">
        <w:rPr>
          <w:szCs w:val="24"/>
        </w:rPr>
        <w:t>l</w:t>
      </w:r>
      <w:r w:rsidRPr="00163AC1">
        <w:rPr>
          <w:szCs w:val="24"/>
        </w:rPr>
        <w:t>eader-</w:t>
      </w:r>
      <w:r w:rsidR="00E26ABD">
        <w:rPr>
          <w:szCs w:val="24"/>
        </w:rPr>
        <w:t>m</w:t>
      </w:r>
      <w:r w:rsidRPr="00163AC1">
        <w:rPr>
          <w:szCs w:val="24"/>
        </w:rPr>
        <w:t xml:space="preserve">ember </w:t>
      </w:r>
      <w:r w:rsidR="00E26ABD">
        <w:rPr>
          <w:szCs w:val="24"/>
        </w:rPr>
        <w:t>e</w:t>
      </w:r>
      <w:r w:rsidRPr="00163AC1">
        <w:rPr>
          <w:szCs w:val="24"/>
        </w:rPr>
        <w:t xml:space="preserve">xchange: Integrating the </w:t>
      </w:r>
      <w:r w:rsidR="00E26ABD">
        <w:rPr>
          <w:szCs w:val="24"/>
        </w:rPr>
        <w:t>p</w:t>
      </w:r>
      <w:r w:rsidRPr="00163AC1">
        <w:rPr>
          <w:szCs w:val="24"/>
        </w:rPr>
        <w:t xml:space="preserve">ast </w:t>
      </w:r>
      <w:r w:rsidR="001A1B2F" w:rsidRPr="00163AC1">
        <w:rPr>
          <w:szCs w:val="24"/>
        </w:rPr>
        <w:t>with</w:t>
      </w:r>
      <w:r w:rsidRPr="00163AC1">
        <w:rPr>
          <w:szCs w:val="24"/>
        </w:rPr>
        <w:t xml:space="preserve"> an </w:t>
      </w:r>
      <w:r w:rsidR="00E26ABD">
        <w:rPr>
          <w:szCs w:val="24"/>
        </w:rPr>
        <w:t>e</w:t>
      </w:r>
      <w:r w:rsidRPr="00163AC1">
        <w:rPr>
          <w:szCs w:val="24"/>
        </w:rPr>
        <w:t xml:space="preserve">ye </w:t>
      </w:r>
      <w:r w:rsidR="00E26ABD">
        <w:rPr>
          <w:szCs w:val="24"/>
        </w:rPr>
        <w:t>t</w:t>
      </w:r>
      <w:r w:rsidRPr="00163AC1">
        <w:rPr>
          <w:szCs w:val="24"/>
        </w:rPr>
        <w:t xml:space="preserve">owards the </w:t>
      </w:r>
      <w:r w:rsidR="00E26ABD">
        <w:rPr>
          <w:szCs w:val="24"/>
        </w:rPr>
        <w:t>f</w:t>
      </w:r>
      <w:r w:rsidRPr="00163AC1">
        <w:rPr>
          <w:szCs w:val="24"/>
        </w:rPr>
        <w:t xml:space="preserve">uture. </w:t>
      </w:r>
      <w:r w:rsidRPr="00163AC1">
        <w:rPr>
          <w:i/>
          <w:iCs/>
          <w:szCs w:val="24"/>
        </w:rPr>
        <w:t>Journal of Managemen</w:t>
      </w:r>
      <w:r w:rsidR="00DA0B6E" w:rsidRPr="00163AC1">
        <w:rPr>
          <w:i/>
          <w:iCs/>
          <w:szCs w:val="24"/>
        </w:rPr>
        <w:t>t</w:t>
      </w:r>
      <w:r w:rsidRPr="00163AC1">
        <w:rPr>
          <w:i/>
          <w:iCs/>
          <w:szCs w:val="24"/>
        </w:rPr>
        <w:t xml:space="preserve"> </w:t>
      </w:r>
      <w:r w:rsidRPr="00163AC1">
        <w:rPr>
          <w:iCs/>
          <w:szCs w:val="24"/>
        </w:rPr>
        <w:t>38</w:t>
      </w:r>
      <w:r w:rsidR="00163AC1" w:rsidRPr="00163AC1">
        <w:rPr>
          <w:iCs/>
          <w:szCs w:val="24"/>
        </w:rPr>
        <w:t>(6)</w:t>
      </w:r>
      <w:r w:rsidR="00DA0B6E" w:rsidRPr="00163AC1">
        <w:rPr>
          <w:iCs/>
          <w:szCs w:val="24"/>
        </w:rPr>
        <w:t>:</w:t>
      </w:r>
      <w:r w:rsidRPr="00163AC1">
        <w:rPr>
          <w:szCs w:val="24"/>
        </w:rPr>
        <w:t xml:space="preserve"> 1715-59.</w:t>
      </w:r>
      <w:r w:rsidRPr="00D604F1">
        <w:rPr>
          <w:szCs w:val="24"/>
        </w:rPr>
        <w:t xml:space="preserve"> </w:t>
      </w:r>
    </w:p>
    <w:p w14:paraId="637C6C5D" w14:textId="522ADB31" w:rsidR="009A743D" w:rsidRDefault="009A743D" w:rsidP="000554F2">
      <w:pPr>
        <w:spacing w:line="480" w:lineRule="exact"/>
        <w:ind w:left="720" w:hanging="720"/>
        <w:contextualSpacing/>
        <w:rPr>
          <w:szCs w:val="24"/>
        </w:rPr>
      </w:pPr>
      <w:r w:rsidRPr="007E163E">
        <w:rPr>
          <w:szCs w:val="24"/>
        </w:rPr>
        <w:t>Eissa G, Wyland R</w:t>
      </w:r>
      <w:r w:rsidR="00DA0B6E" w:rsidRPr="007E163E">
        <w:rPr>
          <w:szCs w:val="24"/>
        </w:rPr>
        <w:t xml:space="preserve"> and</w:t>
      </w:r>
      <w:r w:rsidRPr="007E163E">
        <w:rPr>
          <w:szCs w:val="24"/>
        </w:rPr>
        <w:t xml:space="preserve"> Gupta R (2018) Supervisor to coworker social undermining: The moderating roles of bottom-line mentality and self-efficacy. </w:t>
      </w:r>
      <w:r w:rsidRPr="007E163E">
        <w:rPr>
          <w:i/>
          <w:iCs/>
          <w:szCs w:val="24"/>
        </w:rPr>
        <w:t xml:space="preserve">Journal of Management and Operations </w:t>
      </w:r>
      <w:r w:rsidRPr="007E163E">
        <w:rPr>
          <w:szCs w:val="24"/>
        </w:rPr>
        <w:t>1-18.</w:t>
      </w:r>
      <w:r w:rsidR="00E61906">
        <w:rPr>
          <w:szCs w:val="24"/>
        </w:rPr>
        <w:t xml:space="preserve"> doi: 10.1017/jmo.2018.5</w:t>
      </w:r>
    </w:p>
    <w:p w14:paraId="469031BA" w14:textId="7CB3D563" w:rsidR="009A743D" w:rsidRDefault="009A743D" w:rsidP="000554F2">
      <w:pPr>
        <w:spacing w:line="480" w:lineRule="exact"/>
        <w:ind w:left="720" w:hanging="720"/>
        <w:rPr>
          <w:szCs w:val="24"/>
        </w:rPr>
      </w:pPr>
      <w:r w:rsidRPr="00D604F1">
        <w:rPr>
          <w:szCs w:val="24"/>
        </w:rPr>
        <w:lastRenderedPageBreak/>
        <w:t xml:space="preserve">Fairhurst G (2001) Dualism in </w:t>
      </w:r>
      <w:r w:rsidR="00B6023D">
        <w:rPr>
          <w:szCs w:val="24"/>
        </w:rPr>
        <w:t>l</w:t>
      </w:r>
      <w:r w:rsidRPr="00D604F1">
        <w:rPr>
          <w:szCs w:val="24"/>
        </w:rPr>
        <w:t xml:space="preserve">eadership </w:t>
      </w:r>
      <w:r w:rsidR="00B6023D">
        <w:rPr>
          <w:szCs w:val="24"/>
        </w:rPr>
        <w:t>r</w:t>
      </w:r>
      <w:r w:rsidRPr="00D604F1">
        <w:rPr>
          <w:szCs w:val="24"/>
        </w:rPr>
        <w:t xml:space="preserve">esearch. </w:t>
      </w:r>
      <w:r w:rsidRPr="00D604F1">
        <w:rPr>
          <w:i/>
          <w:iCs/>
          <w:szCs w:val="24"/>
        </w:rPr>
        <w:t>The New Handbook of Organizational Communication: Advances in Theory, Research, and Methods</w:t>
      </w:r>
      <w:r w:rsidRPr="009A743D">
        <w:rPr>
          <w:iCs/>
          <w:szCs w:val="24"/>
        </w:rPr>
        <w:t>. Newbury Park, CA: Sage</w:t>
      </w:r>
      <w:r w:rsidR="00DA0B6E">
        <w:rPr>
          <w:iCs/>
          <w:szCs w:val="24"/>
        </w:rPr>
        <w:t xml:space="preserve">, </w:t>
      </w:r>
      <w:r w:rsidR="00DA0B6E" w:rsidRPr="009A743D">
        <w:rPr>
          <w:iCs/>
          <w:szCs w:val="24"/>
        </w:rPr>
        <w:t>379-439</w:t>
      </w:r>
      <w:r w:rsidR="00DA0B6E">
        <w:rPr>
          <w:iCs/>
          <w:szCs w:val="24"/>
        </w:rPr>
        <w:t>.</w:t>
      </w:r>
    </w:p>
    <w:p w14:paraId="423BEBB2" w14:textId="4D2E6A30" w:rsidR="00D337F1" w:rsidRPr="00FB631F" w:rsidRDefault="008A0A51" w:rsidP="000554F2">
      <w:pPr>
        <w:spacing w:line="480" w:lineRule="exact"/>
        <w:ind w:left="720" w:hanging="720"/>
        <w:rPr>
          <w:szCs w:val="24"/>
        </w:rPr>
      </w:pPr>
      <w:r w:rsidRPr="00163AC1">
        <w:rPr>
          <w:szCs w:val="24"/>
        </w:rPr>
        <w:t>Fisher C</w:t>
      </w:r>
      <w:r w:rsidR="00DA0B6E" w:rsidRPr="00163AC1">
        <w:rPr>
          <w:szCs w:val="24"/>
        </w:rPr>
        <w:t xml:space="preserve"> and</w:t>
      </w:r>
      <w:r w:rsidRPr="00163AC1">
        <w:rPr>
          <w:szCs w:val="24"/>
        </w:rPr>
        <w:t xml:space="preserve"> Gitelson R </w:t>
      </w:r>
      <w:r w:rsidR="00FB631F" w:rsidRPr="00163AC1">
        <w:rPr>
          <w:szCs w:val="24"/>
        </w:rPr>
        <w:t>(</w:t>
      </w:r>
      <w:r w:rsidR="00D337F1" w:rsidRPr="00163AC1">
        <w:rPr>
          <w:szCs w:val="24"/>
        </w:rPr>
        <w:t>1983</w:t>
      </w:r>
      <w:r w:rsidR="00FB631F" w:rsidRPr="00163AC1">
        <w:rPr>
          <w:szCs w:val="24"/>
        </w:rPr>
        <w:t>)</w:t>
      </w:r>
      <w:r w:rsidR="00D337F1" w:rsidRPr="00163AC1">
        <w:rPr>
          <w:szCs w:val="24"/>
        </w:rPr>
        <w:t xml:space="preserve"> A meta-analysis of the correlates of role conflict and ambiguity. </w:t>
      </w:r>
      <w:r w:rsidR="00D337F1" w:rsidRPr="00163AC1">
        <w:rPr>
          <w:i/>
          <w:szCs w:val="24"/>
        </w:rPr>
        <w:t>Journal of Applied Psychology</w:t>
      </w:r>
      <w:r w:rsidR="00DA0B6E" w:rsidRPr="00163AC1">
        <w:rPr>
          <w:i/>
          <w:szCs w:val="24"/>
        </w:rPr>
        <w:t xml:space="preserve"> </w:t>
      </w:r>
      <w:r w:rsidR="00D337F1" w:rsidRPr="00163AC1">
        <w:rPr>
          <w:szCs w:val="24"/>
        </w:rPr>
        <w:t>68</w:t>
      </w:r>
      <w:r w:rsidR="00163AC1" w:rsidRPr="00163AC1">
        <w:rPr>
          <w:szCs w:val="24"/>
        </w:rPr>
        <w:t>(2)</w:t>
      </w:r>
      <w:r w:rsidR="00DA0B6E" w:rsidRPr="00163AC1">
        <w:rPr>
          <w:szCs w:val="24"/>
        </w:rPr>
        <w:t>:</w:t>
      </w:r>
      <w:r w:rsidR="00D337F1" w:rsidRPr="00163AC1">
        <w:rPr>
          <w:szCs w:val="24"/>
        </w:rPr>
        <w:t xml:space="preserve"> 320-33.</w:t>
      </w:r>
      <w:r w:rsidR="00965521" w:rsidRPr="00FB631F">
        <w:rPr>
          <w:szCs w:val="24"/>
        </w:rPr>
        <w:t xml:space="preserve"> </w:t>
      </w:r>
    </w:p>
    <w:p w14:paraId="5958F1D3" w14:textId="47C96129" w:rsidR="00886933" w:rsidRDefault="00886933" w:rsidP="000554F2">
      <w:pPr>
        <w:pStyle w:val="CommentText"/>
        <w:spacing w:line="480" w:lineRule="exact"/>
        <w:rPr>
          <w:sz w:val="24"/>
          <w:szCs w:val="24"/>
        </w:rPr>
      </w:pPr>
      <w:r w:rsidRPr="00FB0EB3">
        <w:rPr>
          <w:sz w:val="24"/>
          <w:szCs w:val="24"/>
        </w:rPr>
        <w:t>Floyd F</w:t>
      </w:r>
      <w:r w:rsidR="00DA0B6E">
        <w:rPr>
          <w:sz w:val="24"/>
          <w:szCs w:val="24"/>
        </w:rPr>
        <w:t xml:space="preserve"> and</w:t>
      </w:r>
      <w:r w:rsidRPr="00FB0EB3">
        <w:rPr>
          <w:sz w:val="24"/>
          <w:szCs w:val="24"/>
        </w:rPr>
        <w:t xml:space="preserve"> Widaman K (1995) Factor analysis in the development and refinement of clinical </w:t>
      </w:r>
      <w:r w:rsidR="00DA0B6E">
        <w:rPr>
          <w:sz w:val="24"/>
          <w:szCs w:val="24"/>
        </w:rPr>
        <w:tab/>
      </w:r>
      <w:r w:rsidRPr="00FB0EB3">
        <w:rPr>
          <w:sz w:val="24"/>
          <w:szCs w:val="24"/>
        </w:rPr>
        <w:t>assessment instruments. </w:t>
      </w:r>
      <w:r w:rsidRPr="00FB0EB3">
        <w:rPr>
          <w:i/>
          <w:iCs/>
          <w:sz w:val="24"/>
          <w:szCs w:val="24"/>
        </w:rPr>
        <w:t>Psychological Assessment</w:t>
      </w:r>
      <w:r w:rsidRPr="00FB0EB3">
        <w:rPr>
          <w:sz w:val="24"/>
          <w:szCs w:val="24"/>
        </w:rPr>
        <w:t> </w:t>
      </w:r>
      <w:r w:rsidRPr="00DA0B6E">
        <w:rPr>
          <w:iCs/>
          <w:sz w:val="24"/>
          <w:szCs w:val="24"/>
        </w:rPr>
        <w:t>7</w:t>
      </w:r>
      <w:r w:rsidRPr="00FB0EB3">
        <w:rPr>
          <w:sz w:val="24"/>
          <w:szCs w:val="24"/>
        </w:rPr>
        <w:t>(3)</w:t>
      </w:r>
      <w:r w:rsidR="00DA0B6E">
        <w:rPr>
          <w:sz w:val="24"/>
          <w:szCs w:val="24"/>
        </w:rPr>
        <w:t>:</w:t>
      </w:r>
      <w:r w:rsidRPr="00FB0EB3">
        <w:rPr>
          <w:sz w:val="24"/>
          <w:szCs w:val="24"/>
        </w:rPr>
        <w:t xml:space="preserve"> 286-99.</w:t>
      </w:r>
    </w:p>
    <w:p w14:paraId="663E3650" w14:textId="00DCEE9C" w:rsidR="00D337F1" w:rsidRPr="00FB631F" w:rsidRDefault="00D337F1" w:rsidP="000554F2">
      <w:pPr>
        <w:pStyle w:val="CommentText"/>
        <w:spacing w:line="480" w:lineRule="exact"/>
        <w:rPr>
          <w:sz w:val="24"/>
          <w:szCs w:val="24"/>
        </w:rPr>
      </w:pPr>
      <w:r w:rsidRPr="00163AC1">
        <w:rPr>
          <w:sz w:val="24"/>
          <w:szCs w:val="24"/>
        </w:rPr>
        <w:t xml:space="preserve">Gouldner A </w:t>
      </w:r>
      <w:r w:rsidR="00FB631F" w:rsidRPr="00163AC1">
        <w:rPr>
          <w:sz w:val="24"/>
          <w:szCs w:val="24"/>
        </w:rPr>
        <w:t>(</w:t>
      </w:r>
      <w:r w:rsidRPr="00163AC1">
        <w:rPr>
          <w:sz w:val="24"/>
          <w:szCs w:val="24"/>
        </w:rPr>
        <w:t>1960</w:t>
      </w:r>
      <w:r w:rsidR="00FB631F" w:rsidRPr="00163AC1">
        <w:rPr>
          <w:sz w:val="24"/>
          <w:szCs w:val="24"/>
        </w:rPr>
        <w:t>)</w:t>
      </w:r>
      <w:r w:rsidRPr="00163AC1">
        <w:rPr>
          <w:sz w:val="24"/>
          <w:szCs w:val="24"/>
        </w:rPr>
        <w:t xml:space="preserve"> The norm of reciprocity: A preliminary statement. </w:t>
      </w:r>
      <w:r w:rsidRPr="00163AC1">
        <w:rPr>
          <w:i/>
          <w:sz w:val="24"/>
          <w:szCs w:val="24"/>
        </w:rPr>
        <w:t xml:space="preserve">American Sociological </w:t>
      </w:r>
      <w:r w:rsidR="00DA0B6E" w:rsidRPr="00163AC1">
        <w:rPr>
          <w:i/>
          <w:sz w:val="24"/>
          <w:szCs w:val="24"/>
        </w:rPr>
        <w:tab/>
      </w:r>
      <w:r w:rsidRPr="00163AC1">
        <w:rPr>
          <w:i/>
          <w:sz w:val="24"/>
          <w:szCs w:val="24"/>
        </w:rPr>
        <w:t xml:space="preserve">Review </w:t>
      </w:r>
      <w:r w:rsidRPr="00163AC1">
        <w:rPr>
          <w:sz w:val="24"/>
          <w:szCs w:val="24"/>
        </w:rPr>
        <w:t>25</w:t>
      </w:r>
      <w:r w:rsidR="00163AC1" w:rsidRPr="00163AC1">
        <w:rPr>
          <w:sz w:val="24"/>
          <w:szCs w:val="24"/>
        </w:rPr>
        <w:t>(2)</w:t>
      </w:r>
      <w:r w:rsidR="00DA0B6E" w:rsidRPr="00163AC1">
        <w:rPr>
          <w:sz w:val="24"/>
          <w:szCs w:val="24"/>
        </w:rPr>
        <w:t>:</w:t>
      </w:r>
      <w:r w:rsidRPr="00163AC1">
        <w:rPr>
          <w:sz w:val="24"/>
          <w:szCs w:val="24"/>
        </w:rPr>
        <w:t xml:space="preserve"> 161-78.</w:t>
      </w:r>
    </w:p>
    <w:p w14:paraId="5E97D3A0" w14:textId="1534E3A2" w:rsidR="00706FE0" w:rsidRPr="00FB631F" w:rsidRDefault="00706FE0" w:rsidP="000554F2">
      <w:pPr>
        <w:spacing w:line="480" w:lineRule="exact"/>
        <w:ind w:left="720" w:hanging="720"/>
        <w:contextualSpacing/>
      </w:pPr>
      <w:r w:rsidRPr="002120E3">
        <w:t>Grant A</w:t>
      </w:r>
      <w:r w:rsidR="00DA0B6E" w:rsidRPr="002120E3">
        <w:t xml:space="preserve"> and</w:t>
      </w:r>
      <w:r w:rsidRPr="002120E3">
        <w:t xml:space="preserve"> Mayer D </w:t>
      </w:r>
      <w:r w:rsidR="00FB631F" w:rsidRPr="002120E3">
        <w:t>(</w:t>
      </w:r>
      <w:r w:rsidRPr="002120E3">
        <w:t>2009</w:t>
      </w:r>
      <w:r w:rsidR="00FB631F" w:rsidRPr="002120E3">
        <w:t>)</w:t>
      </w:r>
      <w:r w:rsidRPr="002120E3">
        <w:t xml:space="preserve"> Good soldiers and good actors: Prosocial and impression management motives as interactive predictors of affiliative citizenship behaviors. </w:t>
      </w:r>
      <w:r w:rsidRPr="002120E3">
        <w:rPr>
          <w:i/>
        </w:rPr>
        <w:t>Journal of Applied Psychology</w:t>
      </w:r>
      <w:r w:rsidR="00FB631F" w:rsidRPr="002120E3">
        <w:rPr>
          <w:i/>
        </w:rPr>
        <w:t xml:space="preserve"> </w:t>
      </w:r>
      <w:r w:rsidRPr="002120E3">
        <w:t>94</w:t>
      </w:r>
      <w:r w:rsidR="002120E3" w:rsidRPr="002120E3">
        <w:t>(4)</w:t>
      </w:r>
      <w:r w:rsidR="00DA0B6E" w:rsidRPr="002120E3">
        <w:t>:</w:t>
      </w:r>
      <w:r w:rsidRPr="002120E3">
        <w:t xml:space="preserve"> 900-12.</w:t>
      </w:r>
      <w:r w:rsidR="00965521" w:rsidRPr="00FB631F">
        <w:t xml:space="preserve"> </w:t>
      </w:r>
    </w:p>
    <w:p w14:paraId="75E46FF3" w14:textId="14B0C037" w:rsidR="00706FE0" w:rsidRPr="00FB631F" w:rsidRDefault="00706FE0" w:rsidP="000554F2">
      <w:pPr>
        <w:spacing w:line="480" w:lineRule="exact"/>
        <w:ind w:left="720" w:hanging="720"/>
        <w:rPr>
          <w:szCs w:val="24"/>
        </w:rPr>
      </w:pPr>
      <w:r w:rsidRPr="00163AC1">
        <w:t>Greenbaum R, Mawritz M</w:t>
      </w:r>
      <w:r w:rsidR="00DA0B6E" w:rsidRPr="00163AC1">
        <w:t xml:space="preserve"> and</w:t>
      </w:r>
      <w:r w:rsidRPr="00163AC1">
        <w:t xml:space="preserve"> Eissa G </w:t>
      </w:r>
      <w:r w:rsidR="00FB631F" w:rsidRPr="00163AC1">
        <w:t>(</w:t>
      </w:r>
      <w:r w:rsidRPr="00163AC1">
        <w:t>2012</w:t>
      </w:r>
      <w:r w:rsidR="00FB631F" w:rsidRPr="00163AC1">
        <w:t>)</w:t>
      </w:r>
      <w:r w:rsidRPr="00163AC1">
        <w:t xml:space="preserve"> Bottom-line mentality as an antecedent of social undermining and the moderating roles of core self-evaluations and conscientiousness. </w:t>
      </w:r>
      <w:r w:rsidRPr="00163AC1">
        <w:rPr>
          <w:i/>
        </w:rPr>
        <w:t xml:space="preserve">Journal of Applied Psychology </w:t>
      </w:r>
      <w:r w:rsidRPr="00163AC1">
        <w:t>97</w:t>
      </w:r>
      <w:r w:rsidR="00163AC1" w:rsidRPr="00163AC1">
        <w:t>(2)</w:t>
      </w:r>
      <w:r w:rsidR="00DA0B6E" w:rsidRPr="00163AC1">
        <w:t>:</w:t>
      </w:r>
      <w:r w:rsidRPr="00163AC1">
        <w:t xml:space="preserve"> 343-59.</w:t>
      </w:r>
      <w:r w:rsidR="00965521" w:rsidRPr="00FB631F">
        <w:t xml:space="preserve"> </w:t>
      </w:r>
    </w:p>
    <w:p w14:paraId="716F31A1" w14:textId="7A06CD0D" w:rsidR="0028409E" w:rsidRPr="0040030C" w:rsidRDefault="0028409E" w:rsidP="000554F2">
      <w:pPr>
        <w:spacing w:line="480" w:lineRule="exact"/>
        <w:ind w:left="720" w:hanging="720"/>
        <w:rPr>
          <w:szCs w:val="24"/>
        </w:rPr>
      </w:pPr>
      <w:r w:rsidRPr="00163AC1">
        <w:rPr>
          <w:szCs w:val="24"/>
        </w:rPr>
        <w:t>Hansen S, Alge</w:t>
      </w:r>
      <w:r w:rsidR="00DA0B6E" w:rsidRPr="00163AC1">
        <w:rPr>
          <w:szCs w:val="24"/>
        </w:rPr>
        <w:t xml:space="preserve"> </w:t>
      </w:r>
      <w:r w:rsidRPr="00163AC1">
        <w:rPr>
          <w:szCs w:val="24"/>
        </w:rPr>
        <w:t>B, Brown M, Ja</w:t>
      </w:r>
      <w:r w:rsidR="008A0A51" w:rsidRPr="00163AC1">
        <w:rPr>
          <w:szCs w:val="24"/>
        </w:rPr>
        <w:t>ckson C</w:t>
      </w:r>
      <w:r w:rsidR="00DA0B6E" w:rsidRPr="00163AC1">
        <w:rPr>
          <w:szCs w:val="24"/>
        </w:rPr>
        <w:t xml:space="preserve"> and</w:t>
      </w:r>
      <w:r w:rsidR="008A0A51" w:rsidRPr="00163AC1">
        <w:rPr>
          <w:szCs w:val="24"/>
        </w:rPr>
        <w:t xml:space="preserve"> </w:t>
      </w:r>
      <w:r w:rsidR="00DA0B6E" w:rsidRPr="00163AC1">
        <w:rPr>
          <w:szCs w:val="24"/>
        </w:rPr>
        <w:t>D</w:t>
      </w:r>
      <w:r w:rsidR="008A0A51" w:rsidRPr="00163AC1">
        <w:rPr>
          <w:szCs w:val="24"/>
        </w:rPr>
        <w:t>unford</w:t>
      </w:r>
      <w:r w:rsidR="00DA0B6E" w:rsidRPr="00163AC1">
        <w:rPr>
          <w:szCs w:val="24"/>
        </w:rPr>
        <w:t xml:space="preserve"> </w:t>
      </w:r>
      <w:r w:rsidR="008A0A51" w:rsidRPr="00163AC1">
        <w:rPr>
          <w:szCs w:val="24"/>
        </w:rPr>
        <w:t xml:space="preserve">B </w:t>
      </w:r>
      <w:r w:rsidR="00FB631F" w:rsidRPr="00163AC1">
        <w:rPr>
          <w:szCs w:val="24"/>
        </w:rPr>
        <w:t>(</w:t>
      </w:r>
      <w:r w:rsidRPr="00163AC1">
        <w:rPr>
          <w:szCs w:val="24"/>
        </w:rPr>
        <w:t>2013</w:t>
      </w:r>
      <w:r w:rsidR="00FB631F" w:rsidRPr="00163AC1">
        <w:rPr>
          <w:szCs w:val="24"/>
        </w:rPr>
        <w:t>)</w:t>
      </w:r>
      <w:r w:rsidRPr="00163AC1">
        <w:rPr>
          <w:szCs w:val="24"/>
        </w:rPr>
        <w:t xml:space="preserve"> Ethical leadership: Assessing the value of a multifoci social exchange perspective. </w:t>
      </w:r>
      <w:r w:rsidRPr="00163AC1">
        <w:rPr>
          <w:i/>
          <w:szCs w:val="24"/>
        </w:rPr>
        <w:t>Journal of Business Ethics</w:t>
      </w:r>
      <w:r w:rsidR="00DA0B6E" w:rsidRPr="00163AC1">
        <w:rPr>
          <w:i/>
          <w:szCs w:val="24"/>
        </w:rPr>
        <w:t xml:space="preserve"> </w:t>
      </w:r>
      <w:r w:rsidRPr="00163AC1">
        <w:rPr>
          <w:szCs w:val="24"/>
        </w:rPr>
        <w:t>115</w:t>
      </w:r>
      <w:r w:rsidR="00163AC1" w:rsidRPr="00163AC1">
        <w:rPr>
          <w:szCs w:val="24"/>
        </w:rPr>
        <w:t>(3)</w:t>
      </w:r>
      <w:r w:rsidR="00DA0B6E" w:rsidRPr="00163AC1">
        <w:rPr>
          <w:szCs w:val="24"/>
        </w:rPr>
        <w:t>:</w:t>
      </w:r>
      <w:r w:rsidRPr="00163AC1">
        <w:rPr>
          <w:szCs w:val="24"/>
        </w:rPr>
        <w:t xml:space="preserve"> 435-49.</w:t>
      </w:r>
      <w:r w:rsidR="00965521" w:rsidRPr="0040030C">
        <w:rPr>
          <w:szCs w:val="24"/>
        </w:rPr>
        <w:t xml:space="preserve"> </w:t>
      </w:r>
    </w:p>
    <w:p w14:paraId="38C461DD" w14:textId="4B5A3B04" w:rsidR="00B4086D" w:rsidRPr="0040030C" w:rsidRDefault="008F1CFD" w:rsidP="000554F2">
      <w:pPr>
        <w:spacing w:line="480" w:lineRule="exact"/>
        <w:ind w:left="720" w:hanging="720"/>
        <w:rPr>
          <w:szCs w:val="24"/>
        </w:rPr>
      </w:pPr>
      <w:r w:rsidRPr="00163AC1">
        <w:rPr>
          <w:szCs w:val="24"/>
        </w:rPr>
        <w:t>Harris K,</w:t>
      </w:r>
      <w:r w:rsidR="007967FB" w:rsidRPr="00163AC1">
        <w:rPr>
          <w:szCs w:val="24"/>
        </w:rPr>
        <w:t xml:space="preserve"> Kacmar</w:t>
      </w:r>
      <w:r w:rsidR="00DA0B6E" w:rsidRPr="00163AC1">
        <w:rPr>
          <w:szCs w:val="24"/>
        </w:rPr>
        <w:t xml:space="preserve"> </w:t>
      </w:r>
      <w:r w:rsidR="007967FB" w:rsidRPr="00163AC1">
        <w:rPr>
          <w:szCs w:val="24"/>
        </w:rPr>
        <w:t>K</w:t>
      </w:r>
      <w:r w:rsidR="00DA0B6E" w:rsidRPr="00163AC1">
        <w:rPr>
          <w:szCs w:val="24"/>
        </w:rPr>
        <w:t xml:space="preserve"> and</w:t>
      </w:r>
      <w:r w:rsidR="007967FB" w:rsidRPr="00163AC1">
        <w:rPr>
          <w:szCs w:val="24"/>
        </w:rPr>
        <w:t xml:space="preserve"> Zivnuska S </w:t>
      </w:r>
      <w:r w:rsidR="00FB631F" w:rsidRPr="00163AC1">
        <w:rPr>
          <w:szCs w:val="24"/>
        </w:rPr>
        <w:t>(</w:t>
      </w:r>
      <w:r w:rsidR="007967FB" w:rsidRPr="00163AC1">
        <w:rPr>
          <w:szCs w:val="24"/>
        </w:rPr>
        <w:t>2007</w:t>
      </w:r>
      <w:r w:rsidR="00FB631F" w:rsidRPr="00163AC1">
        <w:rPr>
          <w:szCs w:val="24"/>
        </w:rPr>
        <w:t>)</w:t>
      </w:r>
      <w:r w:rsidRPr="00163AC1">
        <w:rPr>
          <w:szCs w:val="24"/>
        </w:rPr>
        <w:t xml:space="preserve"> An investigation of abusive supervision as a predictor of performance and the meaning of work as a moderator of the </w:t>
      </w:r>
      <w:r w:rsidR="00D267E6" w:rsidRPr="00163AC1">
        <w:rPr>
          <w:szCs w:val="24"/>
        </w:rPr>
        <w:t xml:space="preserve">relationship. </w:t>
      </w:r>
      <w:r w:rsidRPr="00163AC1">
        <w:rPr>
          <w:i/>
          <w:iCs/>
          <w:szCs w:val="24"/>
        </w:rPr>
        <w:t>The Leadership Quarterly</w:t>
      </w:r>
      <w:r w:rsidR="00DA0B6E" w:rsidRPr="00163AC1">
        <w:rPr>
          <w:i/>
          <w:szCs w:val="24"/>
        </w:rPr>
        <w:t xml:space="preserve"> </w:t>
      </w:r>
      <w:r w:rsidRPr="00163AC1">
        <w:rPr>
          <w:iCs/>
          <w:szCs w:val="24"/>
        </w:rPr>
        <w:t>18</w:t>
      </w:r>
      <w:r w:rsidR="00163AC1" w:rsidRPr="00163AC1">
        <w:rPr>
          <w:iCs/>
          <w:szCs w:val="24"/>
        </w:rPr>
        <w:t>(3)</w:t>
      </w:r>
      <w:r w:rsidR="00DA0B6E" w:rsidRPr="00163AC1">
        <w:rPr>
          <w:iCs/>
          <w:szCs w:val="24"/>
        </w:rPr>
        <w:t>:</w:t>
      </w:r>
      <w:r w:rsidRPr="00163AC1">
        <w:rPr>
          <w:szCs w:val="24"/>
        </w:rPr>
        <w:t xml:space="preserve"> 252-63.</w:t>
      </w:r>
      <w:r w:rsidR="00965521" w:rsidRPr="0040030C">
        <w:rPr>
          <w:szCs w:val="24"/>
        </w:rPr>
        <w:t xml:space="preserve"> </w:t>
      </w:r>
    </w:p>
    <w:p w14:paraId="61EE106B" w14:textId="57F2764D" w:rsidR="00706FE0" w:rsidRPr="00FB631F" w:rsidRDefault="00706FE0" w:rsidP="000554F2">
      <w:pPr>
        <w:spacing w:line="480" w:lineRule="exact"/>
        <w:ind w:left="720" w:hanging="720"/>
        <w:rPr>
          <w:szCs w:val="24"/>
        </w:rPr>
      </w:pPr>
      <w:r w:rsidRPr="00FB631F">
        <w:t xml:space="preserve">Hayes A </w:t>
      </w:r>
      <w:r w:rsidR="00FB631F">
        <w:t>(</w:t>
      </w:r>
      <w:r w:rsidRPr="00FB631F">
        <w:t>2013</w:t>
      </w:r>
      <w:r w:rsidR="00FB631F">
        <w:t>)</w:t>
      </w:r>
      <w:r w:rsidRPr="00FB631F">
        <w:t xml:space="preserve"> </w:t>
      </w:r>
      <w:r w:rsidRPr="005B0A30">
        <w:rPr>
          <w:i/>
        </w:rPr>
        <w:t>An introduction to mediation, moderation, and conditional process analysis: A regression-based approach</w:t>
      </w:r>
      <w:r w:rsidRPr="00FB631F">
        <w:t>. New York, NY: Guilford Press.</w:t>
      </w:r>
    </w:p>
    <w:p w14:paraId="26DC5F19" w14:textId="2517BC8E" w:rsidR="00136516" w:rsidRPr="0040030C" w:rsidRDefault="00F86873" w:rsidP="000554F2">
      <w:pPr>
        <w:spacing w:line="480" w:lineRule="exact"/>
        <w:ind w:left="720" w:hanging="720"/>
        <w:contextualSpacing/>
        <w:rPr>
          <w:szCs w:val="24"/>
        </w:rPr>
      </w:pPr>
      <w:r w:rsidRPr="00163AC1">
        <w:rPr>
          <w:szCs w:val="24"/>
        </w:rPr>
        <w:t xml:space="preserve">Hayes A </w:t>
      </w:r>
      <w:r w:rsidR="00FB631F" w:rsidRPr="00163AC1">
        <w:rPr>
          <w:szCs w:val="24"/>
        </w:rPr>
        <w:t>(</w:t>
      </w:r>
      <w:r w:rsidRPr="00163AC1">
        <w:rPr>
          <w:szCs w:val="24"/>
        </w:rPr>
        <w:t>2015</w:t>
      </w:r>
      <w:r w:rsidR="00FB631F" w:rsidRPr="00163AC1">
        <w:rPr>
          <w:szCs w:val="24"/>
        </w:rPr>
        <w:t>)</w:t>
      </w:r>
      <w:r w:rsidR="00136516" w:rsidRPr="00163AC1">
        <w:rPr>
          <w:szCs w:val="24"/>
        </w:rPr>
        <w:t xml:space="preserve"> An index and test of linear moderated mediation. </w:t>
      </w:r>
      <w:r w:rsidR="00136516" w:rsidRPr="00163AC1">
        <w:rPr>
          <w:i/>
          <w:iCs/>
          <w:szCs w:val="24"/>
        </w:rPr>
        <w:t>Multivariate Behavioral Research</w:t>
      </w:r>
      <w:r w:rsidR="00DA0B6E" w:rsidRPr="00163AC1">
        <w:rPr>
          <w:i/>
          <w:iCs/>
          <w:szCs w:val="24"/>
        </w:rPr>
        <w:t xml:space="preserve"> </w:t>
      </w:r>
      <w:r w:rsidR="00136516" w:rsidRPr="00163AC1">
        <w:rPr>
          <w:iCs/>
          <w:szCs w:val="24"/>
        </w:rPr>
        <w:t>50</w:t>
      </w:r>
      <w:r w:rsidR="00163AC1" w:rsidRPr="00163AC1">
        <w:rPr>
          <w:iCs/>
          <w:szCs w:val="24"/>
        </w:rPr>
        <w:t>(1)</w:t>
      </w:r>
      <w:r w:rsidR="00DA0B6E" w:rsidRPr="00163AC1">
        <w:rPr>
          <w:iCs/>
          <w:szCs w:val="24"/>
        </w:rPr>
        <w:t>:</w:t>
      </w:r>
      <w:r w:rsidR="00136516" w:rsidRPr="00163AC1">
        <w:rPr>
          <w:szCs w:val="24"/>
        </w:rPr>
        <w:t xml:space="preserve"> 1-22.</w:t>
      </w:r>
      <w:r w:rsidR="00136516" w:rsidRPr="0040030C">
        <w:rPr>
          <w:szCs w:val="24"/>
        </w:rPr>
        <w:t xml:space="preserve"> </w:t>
      </w:r>
    </w:p>
    <w:p w14:paraId="70E890FB" w14:textId="6DCED9F8" w:rsidR="00961762" w:rsidRPr="00163AC1" w:rsidRDefault="00961762" w:rsidP="00163AC1">
      <w:pPr>
        <w:spacing w:line="480" w:lineRule="exact"/>
        <w:ind w:left="720" w:hanging="720"/>
        <w:rPr>
          <w:szCs w:val="24"/>
        </w:rPr>
      </w:pPr>
      <w:r w:rsidRPr="00163AC1">
        <w:rPr>
          <w:szCs w:val="24"/>
        </w:rPr>
        <w:lastRenderedPageBreak/>
        <w:t>Henderson D, Liden</w:t>
      </w:r>
      <w:r w:rsidR="00DA0B6E" w:rsidRPr="00163AC1">
        <w:rPr>
          <w:szCs w:val="24"/>
        </w:rPr>
        <w:t xml:space="preserve"> </w:t>
      </w:r>
      <w:r w:rsidRPr="00163AC1">
        <w:rPr>
          <w:szCs w:val="24"/>
        </w:rPr>
        <w:t>R, Glibkowski B</w:t>
      </w:r>
      <w:r w:rsidR="00DA0B6E" w:rsidRPr="00163AC1">
        <w:rPr>
          <w:szCs w:val="24"/>
        </w:rPr>
        <w:t xml:space="preserve"> and</w:t>
      </w:r>
      <w:r w:rsidRPr="00163AC1">
        <w:rPr>
          <w:szCs w:val="24"/>
        </w:rPr>
        <w:t xml:space="preserve"> Chaudhry A (2009) LMX differentiation: A multilevel review and examination of its antecedents and outcomes. </w:t>
      </w:r>
      <w:r w:rsidRPr="00163AC1">
        <w:rPr>
          <w:i/>
          <w:szCs w:val="24"/>
        </w:rPr>
        <w:t>The</w:t>
      </w:r>
      <w:r w:rsidRPr="00163AC1">
        <w:rPr>
          <w:szCs w:val="24"/>
        </w:rPr>
        <w:t xml:space="preserve"> </w:t>
      </w:r>
      <w:r w:rsidRPr="00163AC1">
        <w:rPr>
          <w:i/>
          <w:szCs w:val="24"/>
        </w:rPr>
        <w:t>Leadership</w:t>
      </w:r>
      <w:r w:rsidR="00B7173E" w:rsidRPr="00163AC1">
        <w:rPr>
          <w:i/>
          <w:szCs w:val="24"/>
        </w:rPr>
        <w:t xml:space="preserve"> </w:t>
      </w:r>
      <w:r w:rsidRPr="00163AC1">
        <w:rPr>
          <w:i/>
          <w:szCs w:val="24"/>
        </w:rPr>
        <w:t>Quarterly</w:t>
      </w:r>
      <w:r w:rsidR="00B7173E" w:rsidRPr="00163AC1">
        <w:rPr>
          <w:i/>
          <w:szCs w:val="24"/>
        </w:rPr>
        <w:t xml:space="preserve"> </w:t>
      </w:r>
      <w:r w:rsidRPr="00163AC1">
        <w:rPr>
          <w:szCs w:val="24"/>
        </w:rPr>
        <w:t>20</w:t>
      </w:r>
      <w:r w:rsidR="00163AC1" w:rsidRPr="00163AC1">
        <w:rPr>
          <w:szCs w:val="24"/>
        </w:rPr>
        <w:t>(4)</w:t>
      </w:r>
      <w:r w:rsidR="00B7173E" w:rsidRPr="00163AC1">
        <w:rPr>
          <w:szCs w:val="24"/>
        </w:rPr>
        <w:t>:</w:t>
      </w:r>
      <w:r w:rsidRPr="00163AC1">
        <w:rPr>
          <w:szCs w:val="24"/>
        </w:rPr>
        <w:t xml:space="preserve"> 517-34. </w:t>
      </w:r>
    </w:p>
    <w:p w14:paraId="5D3CA17F" w14:textId="2CD616F3" w:rsidR="002B11DE" w:rsidRPr="002B11DE" w:rsidRDefault="002B11DE" w:rsidP="000554F2">
      <w:pPr>
        <w:pStyle w:val="CommentText"/>
        <w:spacing w:line="480" w:lineRule="exact"/>
        <w:rPr>
          <w:sz w:val="24"/>
          <w:szCs w:val="24"/>
        </w:rPr>
      </w:pPr>
      <w:r w:rsidRPr="002120E3">
        <w:rPr>
          <w:sz w:val="24"/>
          <w:szCs w:val="24"/>
        </w:rPr>
        <w:t>Huang X, Wright R</w:t>
      </w:r>
      <w:r w:rsidR="00B7173E" w:rsidRPr="002120E3">
        <w:rPr>
          <w:sz w:val="24"/>
          <w:szCs w:val="24"/>
        </w:rPr>
        <w:t>,</w:t>
      </w:r>
      <w:r w:rsidRPr="002120E3">
        <w:rPr>
          <w:sz w:val="24"/>
          <w:szCs w:val="24"/>
        </w:rPr>
        <w:t xml:space="preserve"> Chiu W</w:t>
      </w:r>
      <w:r w:rsidR="00B7173E" w:rsidRPr="002120E3">
        <w:rPr>
          <w:sz w:val="24"/>
          <w:szCs w:val="24"/>
        </w:rPr>
        <w:t xml:space="preserve"> and</w:t>
      </w:r>
      <w:r w:rsidRPr="002120E3">
        <w:rPr>
          <w:sz w:val="24"/>
          <w:szCs w:val="24"/>
        </w:rPr>
        <w:t xml:space="preserve"> Wang C (2008) Relational schemas as sources of </w:t>
      </w:r>
      <w:r w:rsidRPr="002120E3">
        <w:rPr>
          <w:sz w:val="24"/>
          <w:szCs w:val="24"/>
        </w:rPr>
        <w:tab/>
        <w:t>evaluation and misevaluation of leader–member exchanges: Some initial evidence. </w:t>
      </w:r>
      <w:r w:rsidRPr="002120E3">
        <w:rPr>
          <w:i/>
          <w:iCs/>
          <w:sz w:val="24"/>
          <w:szCs w:val="24"/>
        </w:rPr>
        <w:t xml:space="preserve">The </w:t>
      </w:r>
      <w:r w:rsidRPr="002120E3">
        <w:rPr>
          <w:i/>
          <w:iCs/>
          <w:sz w:val="24"/>
          <w:szCs w:val="24"/>
        </w:rPr>
        <w:tab/>
        <w:t>Leadership Quarterly</w:t>
      </w:r>
      <w:r w:rsidR="00B7173E" w:rsidRPr="002120E3">
        <w:rPr>
          <w:sz w:val="24"/>
          <w:szCs w:val="24"/>
        </w:rPr>
        <w:t xml:space="preserve"> </w:t>
      </w:r>
      <w:r w:rsidRPr="002120E3">
        <w:rPr>
          <w:iCs/>
          <w:sz w:val="24"/>
          <w:szCs w:val="24"/>
        </w:rPr>
        <w:t>19</w:t>
      </w:r>
      <w:r w:rsidR="002120E3" w:rsidRPr="002120E3">
        <w:rPr>
          <w:iCs/>
          <w:sz w:val="24"/>
          <w:szCs w:val="24"/>
        </w:rPr>
        <w:t>(3)</w:t>
      </w:r>
      <w:r w:rsidR="00B7173E" w:rsidRPr="002120E3">
        <w:rPr>
          <w:sz w:val="24"/>
          <w:szCs w:val="24"/>
        </w:rPr>
        <w:t>:</w:t>
      </w:r>
      <w:r w:rsidRPr="002120E3">
        <w:rPr>
          <w:sz w:val="24"/>
          <w:szCs w:val="24"/>
        </w:rPr>
        <w:t xml:space="preserve"> 266-82.</w:t>
      </w:r>
    </w:p>
    <w:p w14:paraId="60E1A3DA" w14:textId="3630A442" w:rsidR="00AB6524" w:rsidRDefault="00AB6524" w:rsidP="000554F2">
      <w:pPr>
        <w:spacing w:line="480" w:lineRule="exact"/>
        <w:ind w:left="720" w:hanging="720"/>
        <w:rPr>
          <w:szCs w:val="24"/>
        </w:rPr>
      </w:pPr>
      <w:r w:rsidRPr="002120E3">
        <w:rPr>
          <w:szCs w:val="24"/>
        </w:rPr>
        <w:t>Ilies R, Morgeson F</w:t>
      </w:r>
      <w:r w:rsidR="00A62DAC" w:rsidRPr="002120E3">
        <w:rPr>
          <w:szCs w:val="24"/>
        </w:rPr>
        <w:t xml:space="preserve"> and</w:t>
      </w:r>
      <w:r w:rsidRPr="002120E3">
        <w:rPr>
          <w:szCs w:val="24"/>
        </w:rPr>
        <w:t xml:space="preserve"> Nahrgang J (2005) Authentic leadership and eudaemonic well-being: Understanding leader-follower outcomes. </w:t>
      </w:r>
      <w:r w:rsidRPr="002120E3">
        <w:rPr>
          <w:i/>
          <w:szCs w:val="24"/>
        </w:rPr>
        <w:t>Leadership Quarterly</w:t>
      </w:r>
      <w:r w:rsidR="00A62DAC" w:rsidRPr="002120E3">
        <w:rPr>
          <w:szCs w:val="24"/>
        </w:rPr>
        <w:t xml:space="preserve"> </w:t>
      </w:r>
      <w:r w:rsidRPr="002120E3">
        <w:rPr>
          <w:szCs w:val="24"/>
        </w:rPr>
        <w:t>16</w:t>
      </w:r>
      <w:r w:rsidR="002120E3" w:rsidRPr="002120E3">
        <w:rPr>
          <w:szCs w:val="24"/>
        </w:rPr>
        <w:t>(3)</w:t>
      </w:r>
      <w:r w:rsidR="00A62DAC" w:rsidRPr="002120E3">
        <w:rPr>
          <w:szCs w:val="24"/>
        </w:rPr>
        <w:t>:</w:t>
      </w:r>
      <w:r w:rsidRPr="002120E3">
        <w:rPr>
          <w:szCs w:val="24"/>
        </w:rPr>
        <w:t xml:space="preserve"> 373-94.</w:t>
      </w:r>
    </w:p>
    <w:p w14:paraId="759731F7" w14:textId="2A2FF7EB" w:rsidR="00A80DFB" w:rsidRDefault="00A80DFB" w:rsidP="000554F2">
      <w:pPr>
        <w:spacing w:line="480" w:lineRule="exact"/>
        <w:ind w:left="720" w:hanging="720"/>
        <w:rPr>
          <w:szCs w:val="24"/>
        </w:rPr>
      </w:pPr>
      <w:r>
        <w:rPr>
          <w:szCs w:val="24"/>
        </w:rPr>
        <w:t xml:space="preserve">Joseph D, Newman D and Sin H (2011) Leader-member exchange (LMX) measurement: Evidence for consensus, construct breadth, and discriminant validity. In DD Bergh and DJ </w:t>
      </w:r>
      <w:proofErr w:type="spellStart"/>
      <w:r>
        <w:rPr>
          <w:szCs w:val="24"/>
        </w:rPr>
        <w:t>Ketchen</w:t>
      </w:r>
      <w:proofErr w:type="spellEnd"/>
      <w:r>
        <w:rPr>
          <w:szCs w:val="24"/>
        </w:rPr>
        <w:t xml:space="preserve"> (Eds.), </w:t>
      </w:r>
      <w:r w:rsidRPr="00A80DFB">
        <w:rPr>
          <w:i/>
          <w:szCs w:val="24"/>
        </w:rPr>
        <w:t>Research Methodology in Strategy and Management, vol 6</w:t>
      </w:r>
      <w:r>
        <w:rPr>
          <w:szCs w:val="24"/>
        </w:rPr>
        <w:t>. London, UK: Emerald, 89-135.</w:t>
      </w:r>
    </w:p>
    <w:p w14:paraId="58CD5E98" w14:textId="4464D92D" w:rsidR="00292E3B" w:rsidRDefault="00292E3B" w:rsidP="000554F2">
      <w:pPr>
        <w:spacing w:line="480" w:lineRule="exact"/>
        <w:ind w:left="720" w:hanging="720"/>
        <w:rPr>
          <w:szCs w:val="24"/>
        </w:rPr>
      </w:pPr>
      <w:r w:rsidRPr="002120E3">
        <w:rPr>
          <w:szCs w:val="24"/>
        </w:rPr>
        <w:t xml:space="preserve">Kerr S (1975) On the folly of rewarding A while hoping for B. </w:t>
      </w:r>
      <w:r w:rsidRPr="002120E3">
        <w:rPr>
          <w:i/>
          <w:szCs w:val="24"/>
        </w:rPr>
        <w:t>Academy of Management Journal</w:t>
      </w:r>
      <w:r w:rsidR="00A62DAC" w:rsidRPr="002120E3">
        <w:rPr>
          <w:szCs w:val="24"/>
        </w:rPr>
        <w:t xml:space="preserve"> </w:t>
      </w:r>
      <w:r w:rsidRPr="002120E3">
        <w:rPr>
          <w:szCs w:val="24"/>
        </w:rPr>
        <w:t>18</w:t>
      </w:r>
      <w:r w:rsidR="002120E3" w:rsidRPr="002120E3">
        <w:rPr>
          <w:szCs w:val="24"/>
        </w:rPr>
        <w:t>(4)</w:t>
      </w:r>
      <w:r w:rsidR="00A62DAC" w:rsidRPr="002120E3">
        <w:rPr>
          <w:szCs w:val="24"/>
        </w:rPr>
        <w:t>:</w:t>
      </w:r>
      <w:r w:rsidRPr="002120E3">
        <w:rPr>
          <w:szCs w:val="24"/>
        </w:rPr>
        <w:t xml:space="preserve"> 769-83.</w:t>
      </w:r>
    </w:p>
    <w:p w14:paraId="318F9A07" w14:textId="01B433AC" w:rsidR="00C026EB" w:rsidRPr="00FB631F" w:rsidRDefault="00C026EB" w:rsidP="000554F2">
      <w:pPr>
        <w:spacing w:line="480" w:lineRule="exact"/>
        <w:ind w:left="720" w:hanging="720"/>
        <w:rPr>
          <w:szCs w:val="24"/>
        </w:rPr>
      </w:pPr>
      <w:r w:rsidRPr="002120E3">
        <w:rPr>
          <w:szCs w:val="24"/>
        </w:rPr>
        <w:t>Kluemper D, McLarty B</w:t>
      </w:r>
      <w:r w:rsidR="00A62DAC" w:rsidRPr="002120E3">
        <w:rPr>
          <w:szCs w:val="24"/>
        </w:rPr>
        <w:t xml:space="preserve"> and</w:t>
      </w:r>
      <w:r w:rsidRPr="002120E3">
        <w:rPr>
          <w:szCs w:val="24"/>
        </w:rPr>
        <w:t xml:space="preserve"> Bing M </w:t>
      </w:r>
      <w:r w:rsidR="00FB631F" w:rsidRPr="002120E3">
        <w:rPr>
          <w:szCs w:val="24"/>
        </w:rPr>
        <w:t>(</w:t>
      </w:r>
      <w:r w:rsidRPr="002120E3">
        <w:rPr>
          <w:szCs w:val="24"/>
        </w:rPr>
        <w:t>2015</w:t>
      </w:r>
      <w:r w:rsidR="00FB631F" w:rsidRPr="002120E3">
        <w:rPr>
          <w:szCs w:val="24"/>
        </w:rPr>
        <w:t>)</w:t>
      </w:r>
      <w:r w:rsidRPr="002120E3">
        <w:rPr>
          <w:szCs w:val="24"/>
        </w:rPr>
        <w:t xml:space="preserve"> Acquaintance ratings of the big five personality traits: Incremental validity beyond and interactive effects with self-reports in the prediction of workplace deviance. </w:t>
      </w:r>
      <w:r w:rsidRPr="002120E3">
        <w:rPr>
          <w:i/>
          <w:szCs w:val="24"/>
        </w:rPr>
        <w:t>Journal of Applied Psychology</w:t>
      </w:r>
      <w:r w:rsidR="00A62DAC" w:rsidRPr="002120E3">
        <w:rPr>
          <w:i/>
          <w:szCs w:val="24"/>
        </w:rPr>
        <w:t xml:space="preserve"> </w:t>
      </w:r>
      <w:r w:rsidRPr="002120E3">
        <w:rPr>
          <w:szCs w:val="24"/>
        </w:rPr>
        <w:t>100</w:t>
      </w:r>
      <w:r w:rsidR="002120E3" w:rsidRPr="002120E3">
        <w:rPr>
          <w:szCs w:val="24"/>
        </w:rPr>
        <w:t>(1)</w:t>
      </w:r>
      <w:r w:rsidR="00A62DAC" w:rsidRPr="002120E3">
        <w:rPr>
          <w:szCs w:val="24"/>
        </w:rPr>
        <w:t>:</w:t>
      </w:r>
      <w:r w:rsidRPr="002120E3">
        <w:rPr>
          <w:szCs w:val="24"/>
        </w:rPr>
        <w:t xml:space="preserve"> 237-48.</w:t>
      </w:r>
      <w:r w:rsidRPr="00FB631F">
        <w:rPr>
          <w:szCs w:val="24"/>
        </w:rPr>
        <w:t xml:space="preserve"> </w:t>
      </w:r>
    </w:p>
    <w:p w14:paraId="3D847D99" w14:textId="4C83F10E" w:rsidR="00886933" w:rsidRPr="00FB0EB3" w:rsidRDefault="00886933" w:rsidP="000554F2">
      <w:pPr>
        <w:spacing w:line="480" w:lineRule="exact"/>
        <w:rPr>
          <w:szCs w:val="24"/>
        </w:rPr>
      </w:pPr>
      <w:r w:rsidRPr="002120E3">
        <w:rPr>
          <w:szCs w:val="24"/>
        </w:rPr>
        <w:t>Landis R, Beal D</w:t>
      </w:r>
      <w:r w:rsidR="00A62DAC" w:rsidRPr="002120E3">
        <w:rPr>
          <w:szCs w:val="24"/>
        </w:rPr>
        <w:t xml:space="preserve"> and</w:t>
      </w:r>
      <w:r w:rsidRPr="002120E3">
        <w:rPr>
          <w:szCs w:val="24"/>
        </w:rPr>
        <w:t xml:space="preserve"> Tesluk P (2000) A comparison of approaches to forming composite </w:t>
      </w:r>
      <w:r w:rsidR="00A62DAC" w:rsidRPr="002120E3">
        <w:rPr>
          <w:szCs w:val="24"/>
        </w:rPr>
        <w:tab/>
      </w:r>
      <w:r w:rsidRPr="002120E3">
        <w:rPr>
          <w:szCs w:val="24"/>
        </w:rPr>
        <w:t>measures in structural equation models. </w:t>
      </w:r>
      <w:r w:rsidRPr="002120E3">
        <w:rPr>
          <w:i/>
          <w:iCs/>
          <w:szCs w:val="24"/>
        </w:rPr>
        <w:t>Organizational Research Methods</w:t>
      </w:r>
      <w:r w:rsidRPr="002120E3">
        <w:rPr>
          <w:szCs w:val="24"/>
        </w:rPr>
        <w:t> </w:t>
      </w:r>
      <w:r w:rsidRPr="002120E3">
        <w:rPr>
          <w:iCs/>
          <w:szCs w:val="24"/>
        </w:rPr>
        <w:t>3</w:t>
      </w:r>
      <w:r w:rsidR="002120E3" w:rsidRPr="002120E3">
        <w:rPr>
          <w:iCs/>
          <w:szCs w:val="24"/>
        </w:rPr>
        <w:t>(2)</w:t>
      </w:r>
      <w:r w:rsidR="00A62DAC" w:rsidRPr="002120E3">
        <w:rPr>
          <w:szCs w:val="24"/>
        </w:rPr>
        <w:t xml:space="preserve">: </w:t>
      </w:r>
      <w:r w:rsidRPr="002120E3">
        <w:rPr>
          <w:szCs w:val="24"/>
        </w:rPr>
        <w:t>186-207.</w:t>
      </w:r>
    </w:p>
    <w:p w14:paraId="677C3CB3" w14:textId="129F7960" w:rsidR="00136516" w:rsidRPr="00FB631F" w:rsidRDefault="00D442FB" w:rsidP="000554F2">
      <w:pPr>
        <w:spacing w:line="480" w:lineRule="exact"/>
        <w:ind w:left="720" w:hanging="720"/>
        <w:rPr>
          <w:szCs w:val="24"/>
        </w:rPr>
      </w:pPr>
      <w:r w:rsidRPr="002120E3">
        <w:rPr>
          <w:szCs w:val="24"/>
        </w:rPr>
        <w:t>Liden R</w:t>
      </w:r>
      <w:r w:rsidR="00A62DAC" w:rsidRPr="002120E3">
        <w:rPr>
          <w:szCs w:val="24"/>
        </w:rPr>
        <w:t xml:space="preserve"> and</w:t>
      </w:r>
      <w:r w:rsidRPr="002120E3">
        <w:rPr>
          <w:szCs w:val="24"/>
        </w:rPr>
        <w:t xml:space="preserve"> Maslyn J </w:t>
      </w:r>
      <w:r w:rsidR="00A42E11" w:rsidRPr="002120E3">
        <w:rPr>
          <w:szCs w:val="24"/>
        </w:rPr>
        <w:t>(</w:t>
      </w:r>
      <w:r w:rsidR="00136516" w:rsidRPr="002120E3">
        <w:rPr>
          <w:szCs w:val="24"/>
        </w:rPr>
        <w:t>199</w:t>
      </w:r>
      <w:r w:rsidRPr="002120E3">
        <w:rPr>
          <w:szCs w:val="24"/>
        </w:rPr>
        <w:t>8</w:t>
      </w:r>
      <w:r w:rsidR="00A42E11" w:rsidRPr="002120E3">
        <w:rPr>
          <w:szCs w:val="24"/>
        </w:rPr>
        <w:t>)</w:t>
      </w:r>
      <w:r w:rsidR="00136516" w:rsidRPr="002120E3">
        <w:rPr>
          <w:szCs w:val="24"/>
        </w:rPr>
        <w:t xml:space="preserve"> Multidimensionality of leader-member exchange: An empirical assessment through scale development. </w:t>
      </w:r>
      <w:r w:rsidR="00136516" w:rsidRPr="002120E3">
        <w:rPr>
          <w:i/>
          <w:iCs/>
          <w:szCs w:val="24"/>
        </w:rPr>
        <w:t>Journal of Management</w:t>
      </w:r>
      <w:r w:rsidR="00136516" w:rsidRPr="002120E3">
        <w:rPr>
          <w:i/>
          <w:szCs w:val="24"/>
        </w:rPr>
        <w:t> </w:t>
      </w:r>
      <w:r w:rsidR="00136516" w:rsidRPr="002120E3">
        <w:rPr>
          <w:iCs/>
          <w:szCs w:val="24"/>
        </w:rPr>
        <w:t>24</w:t>
      </w:r>
      <w:r w:rsidR="002120E3" w:rsidRPr="002120E3">
        <w:rPr>
          <w:iCs/>
          <w:szCs w:val="24"/>
        </w:rPr>
        <w:t>(1)</w:t>
      </w:r>
      <w:r w:rsidR="00A62DAC" w:rsidRPr="002120E3">
        <w:rPr>
          <w:iCs/>
          <w:szCs w:val="24"/>
        </w:rPr>
        <w:t>:</w:t>
      </w:r>
      <w:r w:rsidR="00136516" w:rsidRPr="002120E3">
        <w:rPr>
          <w:szCs w:val="24"/>
        </w:rPr>
        <w:t xml:space="preserve"> 43-72.</w:t>
      </w:r>
    </w:p>
    <w:p w14:paraId="68882CCA" w14:textId="4D96FB04" w:rsidR="00110812" w:rsidRDefault="00110812" w:rsidP="000554F2">
      <w:pPr>
        <w:spacing w:line="480" w:lineRule="exact"/>
        <w:ind w:left="720" w:hanging="720"/>
        <w:rPr>
          <w:szCs w:val="24"/>
        </w:rPr>
      </w:pPr>
      <w:r w:rsidRPr="002120E3">
        <w:rPr>
          <w:szCs w:val="24"/>
        </w:rPr>
        <w:t>Liden R, Wayne</w:t>
      </w:r>
      <w:r w:rsidR="00A62DAC" w:rsidRPr="002120E3">
        <w:rPr>
          <w:szCs w:val="24"/>
        </w:rPr>
        <w:t xml:space="preserve"> </w:t>
      </w:r>
      <w:r w:rsidRPr="002120E3">
        <w:rPr>
          <w:szCs w:val="24"/>
        </w:rPr>
        <w:t>S</w:t>
      </w:r>
      <w:r w:rsidR="00A62DAC" w:rsidRPr="002120E3">
        <w:rPr>
          <w:szCs w:val="24"/>
        </w:rPr>
        <w:t xml:space="preserve"> and</w:t>
      </w:r>
      <w:r w:rsidRPr="002120E3">
        <w:rPr>
          <w:szCs w:val="24"/>
        </w:rPr>
        <w:t xml:space="preserve"> Stilwell D (1993) A longitudinal study on the early development of leader-member exchanges. </w:t>
      </w:r>
      <w:r w:rsidRPr="002120E3">
        <w:rPr>
          <w:i/>
          <w:szCs w:val="24"/>
        </w:rPr>
        <w:t>Journal of Applied Psychology</w:t>
      </w:r>
      <w:r w:rsidR="00A62DAC" w:rsidRPr="002120E3">
        <w:rPr>
          <w:i/>
          <w:szCs w:val="24"/>
        </w:rPr>
        <w:t xml:space="preserve"> </w:t>
      </w:r>
      <w:r w:rsidRPr="002120E3">
        <w:rPr>
          <w:szCs w:val="24"/>
        </w:rPr>
        <w:t>78</w:t>
      </w:r>
      <w:r w:rsidR="002120E3" w:rsidRPr="002120E3">
        <w:rPr>
          <w:szCs w:val="24"/>
        </w:rPr>
        <w:t>(4)</w:t>
      </w:r>
      <w:r w:rsidR="00A62DAC" w:rsidRPr="002120E3">
        <w:rPr>
          <w:szCs w:val="24"/>
        </w:rPr>
        <w:t>:</w:t>
      </w:r>
      <w:r w:rsidRPr="002120E3">
        <w:rPr>
          <w:szCs w:val="24"/>
        </w:rPr>
        <w:t xml:space="preserve"> 662-74.</w:t>
      </w:r>
    </w:p>
    <w:p w14:paraId="4A2A4670" w14:textId="2B5C9DC7" w:rsidR="00B03646" w:rsidRDefault="00B03646" w:rsidP="000554F2">
      <w:pPr>
        <w:spacing w:line="480" w:lineRule="exact"/>
        <w:ind w:left="720" w:hanging="720"/>
        <w:rPr>
          <w:szCs w:val="24"/>
        </w:rPr>
      </w:pPr>
      <w:r>
        <w:rPr>
          <w:szCs w:val="24"/>
        </w:rPr>
        <w:t xml:space="preserve">Lykken D (1968) Statistical significance in psychological research. </w:t>
      </w:r>
      <w:r w:rsidRPr="00B03646">
        <w:rPr>
          <w:i/>
          <w:szCs w:val="24"/>
        </w:rPr>
        <w:t>Psychological Bulletin</w:t>
      </w:r>
      <w:r>
        <w:rPr>
          <w:szCs w:val="24"/>
        </w:rPr>
        <w:t xml:space="preserve"> 70(3): 151-59.</w:t>
      </w:r>
    </w:p>
    <w:p w14:paraId="63CEFFF5" w14:textId="28D9E4C6" w:rsidR="00AB6524" w:rsidRPr="002120E3" w:rsidRDefault="00AB6524" w:rsidP="000554F2">
      <w:pPr>
        <w:spacing w:line="480" w:lineRule="exact"/>
        <w:ind w:left="720" w:hanging="720"/>
        <w:rPr>
          <w:szCs w:val="24"/>
        </w:rPr>
      </w:pPr>
      <w:r w:rsidRPr="002120E3">
        <w:rPr>
          <w:szCs w:val="24"/>
        </w:rPr>
        <w:t>Martin R, Guillaume Y, Thomas G, Lee A</w:t>
      </w:r>
      <w:r w:rsidR="00A62DAC" w:rsidRPr="002120E3">
        <w:rPr>
          <w:szCs w:val="24"/>
        </w:rPr>
        <w:t xml:space="preserve"> and</w:t>
      </w:r>
      <w:r w:rsidRPr="002120E3">
        <w:rPr>
          <w:szCs w:val="24"/>
        </w:rPr>
        <w:t xml:space="preserve"> Epitropaki O (2016) Leader-member exchange (LMX) and performance: A meta-analytic review. </w:t>
      </w:r>
      <w:r w:rsidRPr="002120E3">
        <w:rPr>
          <w:i/>
          <w:szCs w:val="24"/>
        </w:rPr>
        <w:t>Personnel Psychology</w:t>
      </w:r>
      <w:r w:rsidR="00A62DAC" w:rsidRPr="002120E3">
        <w:rPr>
          <w:szCs w:val="24"/>
        </w:rPr>
        <w:t xml:space="preserve"> </w:t>
      </w:r>
      <w:r w:rsidRPr="002120E3">
        <w:rPr>
          <w:szCs w:val="24"/>
        </w:rPr>
        <w:t>69</w:t>
      </w:r>
      <w:r w:rsidR="002120E3" w:rsidRPr="002120E3">
        <w:rPr>
          <w:szCs w:val="24"/>
        </w:rPr>
        <w:t>(1)</w:t>
      </w:r>
      <w:r w:rsidR="00A62DAC" w:rsidRPr="002120E3">
        <w:rPr>
          <w:szCs w:val="24"/>
        </w:rPr>
        <w:t>:</w:t>
      </w:r>
      <w:r w:rsidRPr="002120E3">
        <w:rPr>
          <w:szCs w:val="24"/>
        </w:rPr>
        <w:t xml:space="preserve"> 67-121.</w:t>
      </w:r>
    </w:p>
    <w:p w14:paraId="0A097F8B" w14:textId="275ACE6A" w:rsidR="00E70B1E" w:rsidRDefault="00E70B1E" w:rsidP="000554F2">
      <w:pPr>
        <w:spacing w:line="480" w:lineRule="exact"/>
        <w:ind w:left="720" w:hanging="720"/>
        <w:rPr>
          <w:szCs w:val="24"/>
        </w:rPr>
      </w:pPr>
      <w:r w:rsidRPr="002120E3">
        <w:rPr>
          <w:szCs w:val="24"/>
        </w:rPr>
        <w:lastRenderedPageBreak/>
        <w:t>Maslyn J</w:t>
      </w:r>
      <w:r w:rsidR="00A62DAC" w:rsidRPr="002120E3">
        <w:rPr>
          <w:szCs w:val="24"/>
        </w:rPr>
        <w:t xml:space="preserve"> and</w:t>
      </w:r>
      <w:r w:rsidRPr="002120E3">
        <w:rPr>
          <w:szCs w:val="24"/>
        </w:rPr>
        <w:t xml:space="preserve"> Uhl-Bien M (2001) Leader-member exchange and its dimensions: Effects of self-effort and other’s effort on relationship quality. </w:t>
      </w:r>
      <w:r w:rsidRPr="002120E3">
        <w:rPr>
          <w:i/>
          <w:szCs w:val="24"/>
        </w:rPr>
        <w:t>Journal of Applied Psychology</w:t>
      </w:r>
      <w:r w:rsidR="00A62DAC" w:rsidRPr="002120E3">
        <w:rPr>
          <w:szCs w:val="24"/>
        </w:rPr>
        <w:t xml:space="preserve"> </w:t>
      </w:r>
      <w:r w:rsidRPr="002120E3">
        <w:rPr>
          <w:szCs w:val="24"/>
        </w:rPr>
        <w:t>86</w:t>
      </w:r>
      <w:r w:rsidR="002120E3" w:rsidRPr="002120E3">
        <w:rPr>
          <w:szCs w:val="24"/>
        </w:rPr>
        <w:t>(4)</w:t>
      </w:r>
      <w:r w:rsidR="00A62DAC" w:rsidRPr="002120E3">
        <w:rPr>
          <w:szCs w:val="24"/>
        </w:rPr>
        <w:t>:</w:t>
      </w:r>
      <w:r w:rsidRPr="002120E3">
        <w:rPr>
          <w:szCs w:val="24"/>
        </w:rPr>
        <w:t xml:space="preserve"> 697-708.</w:t>
      </w:r>
    </w:p>
    <w:p w14:paraId="671599F0" w14:textId="65766780" w:rsidR="004D212B" w:rsidRPr="00FB631F" w:rsidRDefault="004D212B" w:rsidP="000554F2">
      <w:pPr>
        <w:spacing w:line="480" w:lineRule="exact"/>
        <w:ind w:left="720" w:hanging="720"/>
        <w:rPr>
          <w:szCs w:val="24"/>
        </w:rPr>
      </w:pPr>
      <w:r w:rsidRPr="002120E3">
        <w:rPr>
          <w:szCs w:val="24"/>
        </w:rPr>
        <w:t>Mawritz M, Greenbaum R,</w:t>
      </w:r>
      <w:r w:rsidR="007967FB" w:rsidRPr="002120E3">
        <w:rPr>
          <w:szCs w:val="24"/>
        </w:rPr>
        <w:t xml:space="preserve"> Butts M</w:t>
      </w:r>
      <w:r w:rsidR="00A62DAC" w:rsidRPr="002120E3">
        <w:rPr>
          <w:szCs w:val="24"/>
        </w:rPr>
        <w:t xml:space="preserve"> and</w:t>
      </w:r>
      <w:r w:rsidR="007967FB" w:rsidRPr="002120E3">
        <w:rPr>
          <w:szCs w:val="24"/>
        </w:rPr>
        <w:t xml:space="preserve"> Graham K </w:t>
      </w:r>
      <w:r w:rsidR="00A42E11" w:rsidRPr="002120E3">
        <w:rPr>
          <w:szCs w:val="24"/>
        </w:rPr>
        <w:t>(</w:t>
      </w:r>
      <w:r w:rsidR="00CF7FEC" w:rsidRPr="002120E3">
        <w:rPr>
          <w:szCs w:val="24"/>
        </w:rPr>
        <w:t>2017</w:t>
      </w:r>
      <w:r w:rsidR="00A42E11" w:rsidRPr="002120E3">
        <w:rPr>
          <w:szCs w:val="24"/>
        </w:rPr>
        <w:t>)</w:t>
      </w:r>
      <w:r w:rsidRPr="002120E3">
        <w:rPr>
          <w:szCs w:val="24"/>
        </w:rPr>
        <w:t xml:space="preserve"> I just can’t control myself: A self-regulation perspective on the abuse of deviant employees. </w:t>
      </w:r>
      <w:r w:rsidRPr="002120E3">
        <w:rPr>
          <w:i/>
          <w:szCs w:val="24"/>
        </w:rPr>
        <w:t>Academy of Management Journal</w:t>
      </w:r>
      <w:r w:rsidR="00A62DAC" w:rsidRPr="002120E3">
        <w:rPr>
          <w:i/>
          <w:szCs w:val="24"/>
        </w:rPr>
        <w:t xml:space="preserve"> </w:t>
      </w:r>
      <w:r w:rsidR="009313DA" w:rsidRPr="002120E3">
        <w:rPr>
          <w:szCs w:val="24"/>
        </w:rPr>
        <w:t>60</w:t>
      </w:r>
      <w:r w:rsidR="002120E3" w:rsidRPr="002120E3">
        <w:rPr>
          <w:szCs w:val="24"/>
        </w:rPr>
        <w:t>(4)</w:t>
      </w:r>
      <w:r w:rsidR="00A62DAC" w:rsidRPr="002120E3">
        <w:rPr>
          <w:szCs w:val="24"/>
        </w:rPr>
        <w:t>:</w:t>
      </w:r>
      <w:r w:rsidR="009313DA" w:rsidRPr="002120E3">
        <w:rPr>
          <w:szCs w:val="24"/>
        </w:rPr>
        <w:t xml:space="preserve"> 1482-1503.</w:t>
      </w:r>
    </w:p>
    <w:p w14:paraId="230AC2F0" w14:textId="77777777" w:rsidR="00360DB5" w:rsidRDefault="00360DB5" w:rsidP="000554F2">
      <w:pPr>
        <w:spacing w:line="480" w:lineRule="exact"/>
        <w:ind w:left="720" w:hanging="720"/>
        <w:rPr>
          <w:szCs w:val="24"/>
        </w:rPr>
      </w:pPr>
      <w:r>
        <w:rPr>
          <w:szCs w:val="24"/>
        </w:rPr>
        <w:t xml:space="preserve">McLarty B, Vardaman J and Barnett T (2019) Congruence in exchange: The influence of supervisors on employee performance in family firms. </w:t>
      </w:r>
      <w:r w:rsidRPr="00DB4E1A">
        <w:rPr>
          <w:i/>
          <w:szCs w:val="24"/>
        </w:rPr>
        <w:t>Entrepreneurship Theory and Practice</w:t>
      </w:r>
      <w:r>
        <w:rPr>
          <w:szCs w:val="24"/>
        </w:rPr>
        <w:t xml:space="preserve"> 43(2): 302-321.</w:t>
      </w:r>
    </w:p>
    <w:p w14:paraId="73B56BA2" w14:textId="1652287D" w:rsidR="001C4173" w:rsidRDefault="001C4173" w:rsidP="000554F2">
      <w:pPr>
        <w:spacing w:line="480" w:lineRule="exact"/>
        <w:ind w:left="720" w:hanging="720"/>
        <w:rPr>
          <w:szCs w:val="24"/>
        </w:rPr>
      </w:pPr>
      <w:r w:rsidRPr="002120E3">
        <w:rPr>
          <w:szCs w:val="24"/>
        </w:rPr>
        <w:t>Meade A</w:t>
      </w:r>
      <w:r w:rsidR="00A62DAC" w:rsidRPr="002120E3">
        <w:rPr>
          <w:szCs w:val="24"/>
        </w:rPr>
        <w:t xml:space="preserve"> and</w:t>
      </w:r>
      <w:r w:rsidRPr="002120E3">
        <w:rPr>
          <w:szCs w:val="24"/>
        </w:rPr>
        <w:t xml:space="preserve"> Craig S (2012) Identifying careless responses in survey data. </w:t>
      </w:r>
      <w:r w:rsidRPr="002120E3">
        <w:rPr>
          <w:i/>
          <w:szCs w:val="24"/>
        </w:rPr>
        <w:t>Psychological Methods</w:t>
      </w:r>
      <w:r w:rsidR="00A62DAC" w:rsidRPr="002120E3">
        <w:rPr>
          <w:szCs w:val="24"/>
        </w:rPr>
        <w:t xml:space="preserve"> </w:t>
      </w:r>
      <w:r w:rsidRPr="002120E3">
        <w:rPr>
          <w:szCs w:val="24"/>
        </w:rPr>
        <w:t>17</w:t>
      </w:r>
      <w:r w:rsidR="002120E3" w:rsidRPr="002120E3">
        <w:rPr>
          <w:szCs w:val="24"/>
        </w:rPr>
        <w:t>(3)</w:t>
      </w:r>
      <w:r w:rsidR="00A62DAC" w:rsidRPr="002120E3">
        <w:rPr>
          <w:szCs w:val="24"/>
        </w:rPr>
        <w:t>:</w:t>
      </w:r>
      <w:r w:rsidRPr="002120E3">
        <w:rPr>
          <w:szCs w:val="24"/>
        </w:rPr>
        <w:t xml:space="preserve"> 437-55.</w:t>
      </w:r>
    </w:p>
    <w:p w14:paraId="2EB86DAC" w14:textId="5FB97A63" w:rsidR="00683150" w:rsidRDefault="00683150" w:rsidP="000554F2">
      <w:pPr>
        <w:spacing w:line="480" w:lineRule="exact"/>
        <w:ind w:left="720" w:hanging="720"/>
        <w:rPr>
          <w:szCs w:val="24"/>
        </w:rPr>
      </w:pPr>
      <w:r w:rsidRPr="00E61906">
        <w:rPr>
          <w:szCs w:val="24"/>
        </w:rPr>
        <w:t>Mesdaghinia S</w:t>
      </w:r>
      <w:r w:rsidR="00A62DAC" w:rsidRPr="00E61906">
        <w:rPr>
          <w:szCs w:val="24"/>
        </w:rPr>
        <w:t>,</w:t>
      </w:r>
      <w:r w:rsidRPr="00E61906">
        <w:rPr>
          <w:szCs w:val="24"/>
        </w:rPr>
        <w:t xml:space="preserve"> Rawat A</w:t>
      </w:r>
      <w:r w:rsidR="00A62DAC" w:rsidRPr="00E61906">
        <w:rPr>
          <w:szCs w:val="24"/>
        </w:rPr>
        <w:t xml:space="preserve"> and</w:t>
      </w:r>
      <w:r w:rsidRPr="00E61906">
        <w:rPr>
          <w:szCs w:val="24"/>
        </w:rPr>
        <w:t xml:space="preserve"> Nadavulakere S (2018) Why moral followers quit: Examining the role of leader bottom-line mentality and unethical pro-leader behavior. </w:t>
      </w:r>
      <w:r w:rsidRPr="00E61906">
        <w:rPr>
          <w:i/>
          <w:szCs w:val="24"/>
        </w:rPr>
        <w:t>Journal of Business Ethics</w:t>
      </w:r>
      <w:r w:rsidR="002120E3" w:rsidRPr="00E61906">
        <w:rPr>
          <w:szCs w:val="24"/>
        </w:rPr>
        <w:t xml:space="preserve"> 1-15. </w:t>
      </w:r>
      <w:r w:rsidRPr="00E61906">
        <w:rPr>
          <w:szCs w:val="24"/>
        </w:rPr>
        <w:t>doi: 10.1007/s10551-018-3812-7.</w:t>
      </w:r>
    </w:p>
    <w:p w14:paraId="176989C0" w14:textId="474DBF91" w:rsidR="00D337F1" w:rsidRPr="00FB631F" w:rsidRDefault="007967FB" w:rsidP="000554F2">
      <w:pPr>
        <w:spacing w:line="480" w:lineRule="exact"/>
        <w:ind w:left="720" w:hanging="720"/>
        <w:rPr>
          <w:szCs w:val="24"/>
        </w:rPr>
      </w:pPr>
      <w:r w:rsidRPr="002120E3">
        <w:rPr>
          <w:szCs w:val="24"/>
        </w:rPr>
        <w:t xml:space="preserve">Molm L </w:t>
      </w:r>
      <w:r w:rsidR="00A42E11" w:rsidRPr="002120E3">
        <w:rPr>
          <w:szCs w:val="24"/>
        </w:rPr>
        <w:t>(</w:t>
      </w:r>
      <w:r w:rsidRPr="002120E3">
        <w:rPr>
          <w:szCs w:val="24"/>
        </w:rPr>
        <w:t>1994</w:t>
      </w:r>
      <w:r w:rsidR="00A42E11" w:rsidRPr="002120E3">
        <w:rPr>
          <w:szCs w:val="24"/>
        </w:rPr>
        <w:t>)</w:t>
      </w:r>
      <w:r w:rsidR="00D337F1" w:rsidRPr="002120E3">
        <w:rPr>
          <w:szCs w:val="24"/>
        </w:rPr>
        <w:t xml:space="preserve"> Dependence and risk: Transforming the structure of social exchange. </w:t>
      </w:r>
      <w:r w:rsidR="00D337F1" w:rsidRPr="002120E3">
        <w:rPr>
          <w:i/>
          <w:szCs w:val="24"/>
        </w:rPr>
        <w:t>Social Psychology Quarterly</w:t>
      </w:r>
      <w:r w:rsidR="00A62DAC" w:rsidRPr="002120E3">
        <w:rPr>
          <w:i/>
          <w:szCs w:val="24"/>
        </w:rPr>
        <w:t xml:space="preserve"> </w:t>
      </w:r>
      <w:r w:rsidR="00D337F1" w:rsidRPr="002120E3">
        <w:rPr>
          <w:szCs w:val="24"/>
        </w:rPr>
        <w:t>57</w:t>
      </w:r>
      <w:r w:rsidR="002120E3" w:rsidRPr="002120E3">
        <w:rPr>
          <w:szCs w:val="24"/>
        </w:rPr>
        <w:t>(3)</w:t>
      </w:r>
      <w:r w:rsidR="00A62DAC" w:rsidRPr="002120E3">
        <w:rPr>
          <w:szCs w:val="24"/>
        </w:rPr>
        <w:t>:</w:t>
      </w:r>
      <w:r w:rsidR="00D337F1" w:rsidRPr="002120E3">
        <w:rPr>
          <w:szCs w:val="24"/>
        </w:rPr>
        <w:t xml:space="preserve"> 163-76.</w:t>
      </w:r>
    </w:p>
    <w:p w14:paraId="268DCCAE" w14:textId="1434D4E9" w:rsidR="00D337F1" w:rsidRDefault="007967FB" w:rsidP="000554F2">
      <w:pPr>
        <w:spacing w:line="480" w:lineRule="exact"/>
        <w:ind w:left="720" w:hanging="720"/>
        <w:rPr>
          <w:szCs w:val="24"/>
        </w:rPr>
      </w:pPr>
      <w:r w:rsidRPr="00FB631F">
        <w:rPr>
          <w:szCs w:val="24"/>
        </w:rPr>
        <w:t xml:space="preserve">Molm L </w:t>
      </w:r>
      <w:r w:rsidR="00A42E11">
        <w:rPr>
          <w:szCs w:val="24"/>
        </w:rPr>
        <w:t>(</w:t>
      </w:r>
      <w:r w:rsidRPr="00FB631F">
        <w:rPr>
          <w:szCs w:val="24"/>
        </w:rPr>
        <w:t>2000</w:t>
      </w:r>
      <w:r w:rsidR="00A42E11">
        <w:rPr>
          <w:szCs w:val="24"/>
        </w:rPr>
        <w:t>)</w:t>
      </w:r>
      <w:r w:rsidR="00D337F1" w:rsidRPr="00FB631F">
        <w:rPr>
          <w:szCs w:val="24"/>
        </w:rPr>
        <w:t xml:space="preserve"> Theories of social ex</w:t>
      </w:r>
      <w:r w:rsidR="00E8403B" w:rsidRPr="00FB631F">
        <w:rPr>
          <w:szCs w:val="24"/>
        </w:rPr>
        <w:t>change and exchange networks. In</w:t>
      </w:r>
      <w:r w:rsidR="00D337F1" w:rsidRPr="00FB631F">
        <w:rPr>
          <w:szCs w:val="24"/>
        </w:rPr>
        <w:t xml:space="preserve"> G. Ritzer &amp; B. Smart (Eds.), </w:t>
      </w:r>
      <w:r w:rsidR="00D337F1" w:rsidRPr="00A42E11">
        <w:rPr>
          <w:i/>
          <w:szCs w:val="24"/>
        </w:rPr>
        <w:t>Handbook of social theory</w:t>
      </w:r>
      <w:r w:rsidR="00E8403B" w:rsidRPr="00FB631F">
        <w:rPr>
          <w:szCs w:val="24"/>
        </w:rPr>
        <w:t>.</w:t>
      </w:r>
      <w:r w:rsidR="00D337F1" w:rsidRPr="00FB631F">
        <w:rPr>
          <w:szCs w:val="24"/>
        </w:rPr>
        <w:t xml:space="preserve"> Thousand Oaks, CA: Sage</w:t>
      </w:r>
      <w:r w:rsidR="00A62DAC">
        <w:rPr>
          <w:szCs w:val="24"/>
        </w:rPr>
        <w:t xml:space="preserve">, </w:t>
      </w:r>
      <w:r w:rsidR="00A62DAC" w:rsidRPr="00FB631F">
        <w:rPr>
          <w:szCs w:val="24"/>
        </w:rPr>
        <w:t>260-72</w:t>
      </w:r>
      <w:r w:rsidR="00A62DAC">
        <w:rPr>
          <w:szCs w:val="24"/>
        </w:rPr>
        <w:t>.</w:t>
      </w:r>
    </w:p>
    <w:p w14:paraId="72CAD9B2" w14:textId="7044FB52" w:rsidR="001E6C67" w:rsidRPr="001E6C67" w:rsidRDefault="00383596" w:rsidP="000554F2">
      <w:pPr>
        <w:spacing w:line="480" w:lineRule="exact"/>
        <w:ind w:left="720" w:hanging="720"/>
        <w:rPr>
          <w:szCs w:val="24"/>
        </w:rPr>
      </w:pPr>
      <w:r w:rsidRPr="002120E3">
        <w:rPr>
          <w:szCs w:val="24"/>
        </w:rPr>
        <w:t>Moorman R, Blakely G</w:t>
      </w:r>
      <w:r w:rsidR="00A62DAC" w:rsidRPr="002120E3">
        <w:rPr>
          <w:szCs w:val="24"/>
        </w:rPr>
        <w:t xml:space="preserve"> and</w:t>
      </w:r>
      <w:r w:rsidRPr="002120E3">
        <w:rPr>
          <w:szCs w:val="24"/>
        </w:rPr>
        <w:t xml:space="preserve"> Niehoff B (1998) Does </w:t>
      </w:r>
      <w:r w:rsidR="00E26ABD">
        <w:rPr>
          <w:szCs w:val="24"/>
        </w:rPr>
        <w:t>p</w:t>
      </w:r>
      <w:r w:rsidRPr="002120E3">
        <w:rPr>
          <w:szCs w:val="24"/>
        </w:rPr>
        <w:t xml:space="preserve">erceived </w:t>
      </w:r>
      <w:r w:rsidR="00E26ABD">
        <w:rPr>
          <w:szCs w:val="24"/>
        </w:rPr>
        <w:t>o</w:t>
      </w:r>
      <w:r w:rsidRPr="002120E3">
        <w:rPr>
          <w:szCs w:val="24"/>
        </w:rPr>
        <w:t xml:space="preserve">rganizational </w:t>
      </w:r>
      <w:r w:rsidR="00E26ABD">
        <w:rPr>
          <w:szCs w:val="24"/>
        </w:rPr>
        <w:t>s</w:t>
      </w:r>
      <w:r w:rsidRPr="002120E3">
        <w:rPr>
          <w:szCs w:val="24"/>
        </w:rPr>
        <w:t xml:space="preserve">upport </w:t>
      </w:r>
      <w:r w:rsidR="00E26ABD">
        <w:rPr>
          <w:szCs w:val="24"/>
        </w:rPr>
        <w:t>m</w:t>
      </w:r>
      <w:r w:rsidRPr="002120E3">
        <w:rPr>
          <w:szCs w:val="24"/>
        </w:rPr>
        <w:t xml:space="preserve">ediate the </w:t>
      </w:r>
      <w:r w:rsidR="00E26ABD">
        <w:rPr>
          <w:szCs w:val="24"/>
        </w:rPr>
        <w:t>r</w:t>
      </w:r>
      <w:r w:rsidRPr="002120E3">
        <w:rPr>
          <w:szCs w:val="24"/>
        </w:rPr>
        <w:t xml:space="preserve">elationship between </w:t>
      </w:r>
      <w:r w:rsidR="00E26ABD">
        <w:rPr>
          <w:szCs w:val="24"/>
        </w:rPr>
        <w:t>p</w:t>
      </w:r>
      <w:r w:rsidRPr="002120E3">
        <w:rPr>
          <w:szCs w:val="24"/>
        </w:rPr>
        <w:t xml:space="preserve">rocedural </w:t>
      </w:r>
      <w:r w:rsidR="00E26ABD">
        <w:rPr>
          <w:szCs w:val="24"/>
        </w:rPr>
        <w:t>j</w:t>
      </w:r>
      <w:r w:rsidRPr="002120E3">
        <w:rPr>
          <w:szCs w:val="24"/>
        </w:rPr>
        <w:t xml:space="preserve">ustice and </w:t>
      </w:r>
      <w:r w:rsidR="00E26ABD">
        <w:rPr>
          <w:szCs w:val="24"/>
        </w:rPr>
        <w:t>o</w:t>
      </w:r>
      <w:r w:rsidRPr="002120E3">
        <w:rPr>
          <w:szCs w:val="24"/>
        </w:rPr>
        <w:t xml:space="preserve">rganizational </w:t>
      </w:r>
      <w:r w:rsidR="00E26ABD">
        <w:rPr>
          <w:szCs w:val="24"/>
        </w:rPr>
        <w:t>c</w:t>
      </w:r>
      <w:r w:rsidRPr="002120E3">
        <w:rPr>
          <w:szCs w:val="24"/>
        </w:rPr>
        <w:t xml:space="preserve">itizenship </w:t>
      </w:r>
      <w:r w:rsidR="00E26ABD">
        <w:rPr>
          <w:szCs w:val="24"/>
        </w:rPr>
        <w:t>b</w:t>
      </w:r>
      <w:r w:rsidRPr="002120E3">
        <w:rPr>
          <w:szCs w:val="24"/>
        </w:rPr>
        <w:t xml:space="preserve">ehavior? </w:t>
      </w:r>
      <w:r w:rsidRPr="002120E3">
        <w:rPr>
          <w:i/>
          <w:iCs/>
          <w:szCs w:val="24"/>
        </w:rPr>
        <w:t>Academy of Management Journal</w:t>
      </w:r>
      <w:r w:rsidR="00A62DAC" w:rsidRPr="002120E3">
        <w:rPr>
          <w:i/>
          <w:iCs/>
          <w:szCs w:val="24"/>
        </w:rPr>
        <w:t xml:space="preserve"> </w:t>
      </w:r>
      <w:r w:rsidRPr="002120E3">
        <w:rPr>
          <w:iCs/>
          <w:szCs w:val="24"/>
        </w:rPr>
        <w:t>41</w:t>
      </w:r>
      <w:r w:rsidR="002120E3" w:rsidRPr="002120E3">
        <w:rPr>
          <w:iCs/>
          <w:szCs w:val="24"/>
        </w:rPr>
        <w:t>(3)</w:t>
      </w:r>
      <w:r w:rsidR="00A62DAC" w:rsidRPr="002120E3">
        <w:rPr>
          <w:szCs w:val="24"/>
        </w:rPr>
        <w:t>:</w:t>
      </w:r>
      <w:r w:rsidR="009A743D" w:rsidRPr="002120E3">
        <w:rPr>
          <w:szCs w:val="24"/>
        </w:rPr>
        <w:t xml:space="preserve"> 351-57.</w:t>
      </w:r>
    </w:p>
    <w:p w14:paraId="0252CE16" w14:textId="64E20F0A" w:rsidR="00355A8B" w:rsidRDefault="00355A8B" w:rsidP="000554F2">
      <w:pPr>
        <w:spacing w:line="480" w:lineRule="exact"/>
        <w:rPr>
          <w:szCs w:val="24"/>
        </w:rPr>
      </w:pPr>
      <w:r w:rsidRPr="002120E3">
        <w:rPr>
          <w:szCs w:val="24"/>
        </w:rPr>
        <w:t xml:space="preserve">Organ D (1990) The subtle significance of job satisfaction. </w:t>
      </w:r>
      <w:r w:rsidRPr="002120E3">
        <w:rPr>
          <w:i/>
          <w:szCs w:val="24"/>
        </w:rPr>
        <w:t>Clinical Laboratory</w:t>
      </w:r>
      <w:r w:rsidR="00034755" w:rsidRPr="002120E3">
        <w:rPr>
          <w:i/>
          <w:szCs w:val="24"/>
        </w:rPr>
        <w:t xml:space="preserve"> Management </w:t>
      </w:r>
      <w:r w:rsidR="00A62DAC" w:rsidRPr="002120E3">
        <w:rPr>
          <w:i/>
          <w:szCs w:val="24"/>
        </w:rPr>
        <w:tab/>
      </w:r>
      <w:r w:rsidR="00034755" w:rsidRPr="002120E3">
        <w:rPr>
          <w:i/>
          <w:szCs w:val="24"/>
        </w:rPr>
        <w:t>Review</w:t>
      </w:r>
      <w:r w:rsidR="00A62DAC" w:rsidRPr="002120E3">
        <w:rPr>
          <w:szCs w:val="24"/>
        </w:rPr>
        <w:t xml:space="preserve"> </w:t>
      </w:r>
      <w:r w:rsidR="00034755" w:rsidRPr="002120E3">
        <w:rPr>
          <w:szCs w:val="24"/>
        </w:rPr>
        <w:t>4</w:t>
      </w:r>
      <w:r w:rsidR="002120E3" w:rsidRPr="002120E3">
        <w:rPr>
          <w:szCs w:val="24"/>
        </w:rPr>
        <w:t>(1)</w:t>
      </w:r>
      <w:r w:rsidR="00A62DAC" w:rsidRPr="002120E3">
        <w:rPr>
          <w:szCs w:val="24"/>
        </w:rPr>
        <w:t>:</w:t>
      </w:r>
      <w:r w:rsidR="00034755" w:rsidRPr="002120E3">
        <w:rPr>
          <w:szCs w:val="24"/>
        </w:rPr>
        <w:t xml:space="preserve"> 94-98.</w:t>
      </w:r>
    </w:p>
    <w:p w14:paraId="67B7815A" w14:textId="77777777" w:rsidR="002120E3" w:rsidRPr="002120E3" w:rsidRDefault="0028409E" w:rsidP="002120E3">
      <w:pPr>
        <w:spacing w:line="480" w:lineRule="exact"/>
      </w:pPr>
      <w:r w:rsidRPr="002120E3">
        <w:rPr>
          <w:szCs w:val="24"/>
        </w:rPr>
        <w:t>Piccolo R,</w:t>
      </w:r>
      <w:r w:rsidRPr="002120E3">
        <w:t xml:space="preserve"> Greenbaum R, Den Hartog D</w:t>
      </w:r>
      <w:r w:rsidR="00A62DAC" w:rsidRPr="002120E3">
        <w:t xml:space="preserve"> and</w:t>
      </w:r>
      <w:r w:rsidRPr="002120E3">
        <w:t xml:space="preserve"> Folger R </w:t>
      </w:r>
      <w:r w:rsidR="00A42E11" w:rsidRPr="002120E3">
        <w:t>(</w:t>
      </w:r>
      <w:r w:rsidRPr="002120E3">
        <w:t>2010</w:t>
      </w:r>
      <w:r w:rsidR="00A42E11" w:rsidRPr="002120E3">
        <w:t>)</w:t>
      </w:r>
      <w:r w:rsidRPr="002120E3">
        <w:t xml:space="preserve"> The relationship between ethical </w:t>
      </w:r>
      <w:r w:rsidR="00A62DAC" w:rsidRPr="002120E3">
        <w:tab/>
      </w:r>
      <w:r w:rsidRPr="002120E3">
        <w:t xml:space="preserve">leadership and core job characteristics. </w:t>
      </w:r>
      <w:r w:rsidRPr="002120E3">
        <w:rPr>
          <w:i/>
        </w:rPr>
        <w:t>Journal of Organizational Behavior</w:t>
      </w:r>
      <w:r w:rsidR="00A62DAC" w:rsidRPr="002120E3">
        <w:rPr>
          <w:i/>
        </w:rPr>
        <w:t xml:space="preserve"> </w:t>
      </w:r>
      <w:r w:rsidRPr="002120E3">
        <w:t>31</w:t>
      </w:r>
      <w:r w:rsidR="002120E3" w:rsidRPr="002120E3">
        <w:t>(2-3)</w:t>
      </w:r>
      <w:r w:rsidR="00A62DAC" w:rsidRPr="002120E3">
        <w:t>:</w:t>
      </w:r>
      <w:r w:rsidRPr="002120E3">
        <w:t xml:space="preserve"> </w:t>
      </w:r>
    </w:p>
    <w:p w14:paraId="73F48A86" w14:textId="34CAEB74" w:rsidR="0028409E" w:rsidRPr="002120E3" w:rsidRDefault="0028409E" w:rsidP="002120E3">
      <w:pPr>
        <w:spacing w:line="480" w:lineRule="exact"/>
        <w:ind w:firstLine="720"/>
      </w:pPr>
      <w:r w:rsidRPr="002120E3">
        <w:t>259</w:t>
      </w:r>
      <w:r w:rsidR="002120E3" w:rsidRPr="002120E3">
        <w:t>-</w:t>
      </w:r>
      <w:r w:rsidRPr="002120E3">
        <w:t>78.</w:t>
      </w:r>
      <w:r w:rsidR="00965521" w:rsidRPr="002120E3">
        <w:t xml:space="preserve"> </w:t>
      </w:r>
    </w:p>
    <w:p w14:paraId="61938ACB" w14:textId="11236160" w:rsidR="00F9559A" w:rsidRDefault="00F9559A" w:rsidP="000554F2">
      <w:pPr>
        <w:spacing w:line="480" w:lineRule="exact"/>
        <w:ind w:left="720" w:hanging="720"/>
        <w:contextualSpacing/>
      </w:pPr>
      <w:r w:rsidRPr="002120E3">
        <w:t>Rosenthal S</w:t>
      </w:r>
      <w:r w:rsidR="00A62DAC" w:rsidRPr="002120E3">
        <w:t xml:space="preserve"> and</w:t>
      </w:r>
      <w:r w:rsidRPr="002120E3">
        <w:t xml:space="preserve"> Pittinsky T (2006) Narcissistic leadership. </w:t>
      </w:r>
      <w:r w:rsidRPr="002120E3">
        <w:rPr>
          <w:i/>
        </w:rPr>
        <w:t>Leadership Quarterly</w:t>
      </w:r>
      <w:r w:rsidR="00A62DAC" w:rsidRPr="002120E3">
        <w:rPr>
          <w:i/>
        </w:rPr>
        <w:t xml:space="preserve"> </w:t>
      </w:r>
      <w:r w:rsidRPr="002120E3">
        <w:t>17</w:t>
      </w:r>
      <w:r w:rsidR="002120E3" w:rsidRPr="002120E3">
        <w:t>(6)</w:t>
      </w:r>
      <w:r w:rsidR="00A62DAC" w:rsidRPr="002120E3">
        <w:t>:</w:t>
      </w:r>
      <w:r w:rsidRPr="002120E3">
        <w:t xml:space="preserve"> 617–33.</w:t>
      </w:r>
    </w:p>
    <w:p w14:paraId="61A45745" w14:textId="4280148E" w:rsidR="00AB6524" w:rsidRDefault="00AB6524" w:rsidP="000554F2">
      <w:pPr>
        <w:spacing w:line="480" w:lineRule="exact"/>
        <w:ind w:left="720" w:hanging="720"/>
        <w:rPr>
          <w:szCs w:val="24"/>
        </w:rPr>
      </w:pPr>
      <w:r w:rsidRPr="002120E3">
        <w:rPr>
          <w:szCs w:val="24"/>
        </w:rPr>
        <w:lastRenderedPageBreak/>
        <w:t>Sendjaya S</w:t>
      </w:r>
      <w:r w:rsidR="00A62DAC" w:rsidRPr="002120E3">
        <w:rPr>
          <w:szCs w:val="24"/>
        </w:rPr>
        <w:t xml:space="preserve"> and</w:t>
      </w:r>
      <w:r w:rsidRPr="002120E3">
        <w:rPr>
          <w:szCs w:val="24"/>
        </w:rPr>
        <w:t xml:space="preserve"> Pekerti</w:t>
      </w:r>
      <w:r w:rsidR="00A62DAC" w:rsidRPr="002120E3">
        <w:rPr>
          <w:szCs w:val="24"/>
        </w:rPr>
        <w:t xml:space="preserve"> A</w:t>
      </w:r>
      <w:r w:rsidRPr="002120E3">
        <w:rPr>
          <w:szCs w:val="24"/>
        </w:rPr>
        <w:t xml:space="preserve">. (2010) Servant leadership as antecedent of trust in organizations. </w:t>
      </w:r>
      <w:r w:rsidRPr="002120E3">
        <w:rPr>
          <w:i/>
          <w:szCs w:val="24"/>
        </w:rPr>
        <w:t>Leadership and Organization Development Journal</w:t>
      </w:r>
      <w:r w:rsidR="00A62DAC" w:rsidRPr="002120E3">
        <w:rPr>
          <w:szCs w:val="24"/>
        </w:rPr>
        <w:t xml:space="preserve"> </w:t>
      </w:r>
      <w:r w:rsidRPr="002120E3">
        <w:rPr>
          <w:szCs w:val="24"/>
        </w:rPr>
        <w:t>31</w:t>
      </w:r>
      <w:r w:rsidR="002120E3" w:rsidRPr="002120E3">
        <w:rPr>
          <w:szCs w:val="24"/>
        </w:rPr>
        <w:t>(7)</w:t>
      </w:r>
      <w:r w:rsidR="00A62DAC" w:rsidRPr="002120E3">
        <w:rPr>
          <w:szCs w:val="24"/>
        </w:rPr>
        <w:t>:</w:t>
      </w:r>
      <w:r w:rsidRPr="002120E3">
        <w:rPr>
          <w:szCs w:val="24"/>
        </w:rPr>
        <w:t xml:space="preserve"> 643-63.</w:t>
      </w:r>
      <w:r>
        <w:rPr>
          <w:szCs w:val="24"/>
        </w:rPr>
        <w:t xml:space="preserve"> </w:t>
      </w:r>
    </w:p>
    <w:p w14:paraId="3765E8F1" w14:textId="2F944DAE" w:rsidR="00E23AAC" w:rsidRPr="00FB631F" w:rsidRDefault="00E23AAC" w:rsidP="000554F2">
      <w:pPr>
        <w:spacing w:line="480" w:lineRule="exact"/>
        <w:ind w:left="720" w:hanging="720"/>
        <w:rPr>
          <w:szCs w:val="24"/>
        </w:rPr>
      </w:pPr>
      <w:r w:rsidRPr="002120E3">
        <w:rPr>
          <w:szCs w:val="24"/>
        </w:rPr>
        <w:t xml:space="preserve">Sims R </w:t>
      </w:r>
      <w:r w:rsidR="00A42E11" w:rsidRPr="002120E3">
        <w:rPr>
          <w:szCs w:val="24"/>
        </w:rPr>
        <w:t>(</w:t>
      </w:r>
      <w:r w:rsidRPr="002120E3">
        <w:rPr>
          <w:szCs w:val="24"/>
        </w:rPr>
        <w:t>1992</w:t>
      </w:r>
      <w:r w:rsidR="00A42E11" w:rsidRPr="002120E3">
        <w:rPr>
          <w:szCs w:val="24"/>
        </w:rPr>
        <w:t>)</w:t>
      </w:r>
      <w:r w:rsidRPr="002120E3">
        <w:rPr>
          <w:szCs w:val="24"/>
        </w:rPr>
        <w:t xml:space="preserve"> The challenge of ethical behavior in organizations. </w:t>
      </w:r>
      <w:r w:rsidRPr="002120E3">
        <w:rPr>
          <w:i/>
          <w:szCs w:val="24"/>
        </w:rPr>
        <w:t xml:space="preserve">Journal of Business Ethics </w:t>
      </w:r>
      <w:r w:rsidRPr="002120E3">
        <w:rPr>
          <w:szCs w:val="24"/>
        </w:rPr>
        <w:t>11</w:t>
      </w:r>
      <w:r w:rsidR="002120E3" w:rsidRPr="002120E3">
        <w:rPr>
          <w:szCs w:val="24"/>
        </w:rPr>
        <w:t>(7)</w:t>
      </w:r>
      <w:r w:rsidR="00A62DAC" w:rsidRPr="002120E3">
        <w:rPr>
          <w:szCs w:val="24"/>
        </w:rPr>
        <w:t>:</w:t>
      </w:r>
      <w:r w:rsidRPr="002120E3">
        <w:rPr>
          <w:szCs w:val="24"/>
        </w:rPr>
        <w:t xml:space="preserve"> 505–13.</w:t>
      </w:r>
      <w:r w:rsidRPr="00FB631F">
        <w:rPr>
          <w:szCs w:val="24"/>
        </w:rPr>
        <w:t xml:space="preserve"> </w:t>
      </w:r>
    </w:p>
    <w:p w14:paraId="46BCB146" w14:textId="70DFD77A" w:rsidR="00934315" w:rsidRPr="00FB631F" w:rsidRDefault="00934315" w:rsidP="000554F2">
      <w:pPr>
        <w:spacing w:line="480" w:lineRule="exact"/>
        <w:contextualSpacing/>
        <w:rPr>
          <w:szCs w:val="24"/>
        </w:rPr>
      </w:pPr>
      <w:r w:rsidRPr="00891AD8">
        <w:t>Skarl</w:t>
      </w:r>
      <w:r w:rsidR="007967FB" w:rsidRPr="00891AD8">
        <w:t>icki D</w:t>
      </w:r>
      <w:r w:rsidR="00A62DAC" w:rsidRPr="00891AD8">
        <w:t xml:space="preserve"> and</w:t>
      </w:r>
      <w:r w:rsidR="007967FB" w:rsidRPr="00891AD8">
        <w:t xml:space="preserve"> Folger</w:t>
      </w:r>
      <w:r w:rsidR="00A62DAC" w:rsidRPr="00891AD8">
        <w:t xml:space="preserve"> R</w:t>
      </w:r>
      <w:r w:rsidR="007967FB" w:rsidRPr="00891AD8">
        <w:t xml:space="preserve"> </w:t>
      </w:r>
      <w:r w:rsidR="00A42E11" w:rsidRPr="00891AD8">
        <w:t>(</w:t>
      </w:r>
      <w:r w:rsidR="007967FB" w:rsidRPr="00891AD8">
        <w:t>1997</w:t>
      </w:r>
      <w:r w:rsidR="00A42E11" w:rsidRPr="00891AD8">
        <w:t>)</w:t>
      </w:r>
      <w:r w:rsidRPr="00891AD8">
        <w:t xml:space="preserve"> Retaliation in the workplace: The roles of distributive, </w:t>
      </w:r>
      <w:r w:rsidRPr="00891AD8">
        <w:tab/>
        <w:t>procedural, and interactional justice</w:t>
      </w:r>
      <w:r w:rsidRPr="00891AD8">
        <w:rPr>
          <w:i/>
        </w:rPr>
        <w:t>. </w:t>
      </w:r>
      <w:r w:rsidRPr="00891AD8">
        <w:rPr>
          <w:i/>
          <w:iCs/>
        </w:rPr>
        <w:t xml:space="preserve">Journal of </w:t>
      </w:r>
      <w:r w:rsidR="00AC65DE" w:rsidRPr="00891AD8">
        <w:rPr>
          <w:i/>
          <w:iCs/>
        </w:rPr>
        <w:t>A</w:t>
      </w:r>
      <w:r w:rsidRPr="00891AD8">
        <w:rPr>
          <w:i/>
          <w:iCs/>
        </w:rPr>
        <w:t>pplied Psychology</w:t>
      </w:r>
      <w:r w:rsidR="00A62DAC" w:rsidRPr="00891AD8">
        <w:rPr>
          <w:i/>
          <w:iCs/>
        </w:rPr>
        <w:t xml:space="preserve"> </w:t>
      </w:r>
      <w:r w:rsidRPr="00891AD8">
        <w:rPr>
          <w:iCs/>
        </w:rPr>
        <w:t>82</w:t>
      </w:r>
      <w:r w:rsidR="00891AD8" w:rsidRPr="00891AD8">
        <w:rPr>
          <w:iCs/>
        </w:rPr>
        <w:t>(3)</w:t>
      </w:r>
      <w:r w:rsidR="00A62DAC" w:rsidRPr="00891AD8">
        <w:rPr>
          <w:iCs/>
        </w:rPr>
        <w:t>:</w:t>
      </w:r>
      <w:r w:rsidRPr="00891AD8">
        <w:t xml:space="preserve"> 434-43.</w:t>
      </w:r>
      <w:r w:rsidR="0002606E" w:rsidRPr="00FB631F">
        <w:t xml:space="preserve"> </w:t>
      </w:r>
    </w:p>
    <w:p w14:paraId="794A21D6" w14:textId="1465FB5B" w:rsidR="00633851" w:rsidRDefault="00633851" w:rsidP="000554F2">
      <w:pPr>
        <w:pStyle w:val="CommentText"/>
        <w:spacing w:line="480" w:lineRule="exact"/>
        <w:rPr>
          <w:sz w:val="24"/>
          <w:szCs w:val="24"/>
        </w:rPr>
      </w:pPr>
      <w:r w:rsidRPr="00713F5F">
        <w:rPr>
          <w:sz w:val="24"/>
          <w:szCs w:val="24"/>
        </w:rPr>
        <w:t>Tepper B, Moss</w:t>
      </w:r>
      <w:r w:rsidR="00A62DAC">
        <w:rPr>
          <w:sz w:val="24"/>
          <w:szCs w:val="24"/>
        </w:rPr>
        <w:t xml:space="preserve"> </w:t>
      </w:r>
      <w:r w:rsidRPr="00713F5F">
        <w:rPr>
          <w:sz w:val="24"/>
          <w:szCs w:val="24"/>
        </w:rPr>
        <w:t>S</w:t>
      </w:r>
      <w:r w:rsidR="00A62DAC">
        <w:rPr>
          <w:sz w:val="24"/>
          <w:szCs w:val="24"/>
        </w:rPr>
        <w:t xml:space="preserve"> and</w:t>
      </w:r>
      <w:r w:rsidRPr="00713F5F">
        <w:rPr>
          <w:sz w:val="24"/>
          <w:szCs w:val="24"/>
        </w:rPr>
        <w:t xml:space="preserve"> Duffy M (2011) Predictors of abusive supervision: Supervisor </w:t>
      </w:r>
      <w:r w:rsidR="00713F5F">
        <w:rPr>
          <w:sz w:val="24"/>
          <w:szCs w:val="24"/>
        </w:rPr>
        <w:tab/>
      </w:r>
      <w:r w:rsidRPr="00713F5F">
        <w:rPr>
          <w:sz w:val="24"/>
          <w:szCs w:val="24"/>
        </w:rPr>
        <w:t xml:space="preserve">perceptions of deep-level dissimilarity, relationship conflict, and subordinate </w:t>
      </w:r>
      <w:r w:rsidR="00713F5F">
        <w:rPr>
          <w:sz w:val="24"/>
          <w:szCs w:val="24"/>
        </w:rPr>
        <w:tab/>
      </w:r>
      <w:r w:rsidRPr="00713F5F">
        <w:rPr>
          <w:sz w:val="24"/>
          <w:szCs w:val="24"/>
        </w:rPr>
        <w:t>performance. </w:t>
      </w:r>
      <w:r w:rsidRPr="00713F5F">
        <w:rPr>
          <w:i/>
          <w:iCs/>
          <w:sz w:val="24"/>
          <w:szCs w:val="24"/>
        </w:rPr>
        <w:t>Academy of Management Journal</w:t>
      </w:r>
      <w:r w:rsidR="00A62DAC">
        <w:rPr>
          <w:sz w:val="24"/>
          <w:szCs w:val="24"/>
        </w:rPr>
        <w:t xml:space="preserve"> </w:t>
      </w:r>
      <w:r w:rsidRPr="00A62DAC">
        <w:rPr>
          <w:iCs/>
          <w:sz w:val="24"/>
          <w:szCs w:val="24"/>
        </w:rPr>
        <w:t>54</w:t>
      </w:r>
      <w:r w:rsidRPr="00713F5F">
        <w:rPr>
          <w:sz w:val="24"/>
          <w:szCs w:val="24"/>
        </w:rPr>
        <w:t>(2)</w:t>
      </w:r>
      <w:r w:rsidR="00A62DAC">
        <w:rPr>
          <w:sz w:val="24"/>
          <w:szCs w:val="24"/>
        </w:rPr>
        <w:t>:</w:t>
      </w:r>
      <w:r w:rsidRPr="00713F5F">
        <w:rPr>
          <w:sz w:val="24"/>
          <w:szCs w:val="24"/>
        </w:rPr>
        <w:t xml:space="preserve"> 279-94.</w:t>
      </w:r>
    </w:p>
    <w:p w14:paraId="72FD7140" w14:textId="18701E4E" w:rsidR="0028409E" w:rsidRPr="00FB631F" w:rsidRDefault="00034755" w:rsidP="000554F2">
      <w:pPr>
        <w:spacing w:line="480" w:lineRule="exact"/>
      </w:pPr>
      <w:r w:rsidRPr="00891AD8">
        <w:t xml:space="preserve">Uhl-Bien M (2006) Relational leadership theory: Exploring the social processes of leadership </w:t>
      </w:r>
      <w:r w:rsidRPr="00891AD8">
        <w:tab/>
        <w:t xml:space="preserve">and organizing. </w:t>
      </w:r>
      <w:r w:rsidRPr="00891AD8">
        <w:rPr>
          <w:i/>
        </w:rPr>
        <w:t>Leadership Quarterly</w:t>
      </w:r>
      <w:r w:rsidR="00970A2B" w:rsidRPr="00891AD8">
        <w:t xml:space="preserve"> </w:t>
      </w:r>
      <w:r w:rsidRPr="00891AD8">
        <w:t>17</w:t>
      </w:r>
      <w:r w:rsidR="00891AD8" w:rsidRPr="00891AD8">
        <w:t>(6)</w:t>
      </w:r>
      <w:r w:rsidR="00970A2B" w:rsidRPr="00891AD8">
        <w:t>:</w:t>
      </w:r>
      <w:r w:rsidRPr="00891AD8">
        <w:t xml:space="preserve"> 654-76.</w:t>
      </w:r>
      <w:r w:rsidR="0002606E" w:rsidRPr="00FB631F">
        <w:t xml:space="preserve"> </w:t>
      </w:r>
    </w:p>
    <w:p w14:paraId="00577F9F" w14:textId="53A8DCFF" w:rsidR="00AB6524" w:rsidRDefault="00AB6524" w:rsidP="000554F2">
      <w:pPr>
        <w:pStyle w:val="CommentText"/>
        <w:spacing w:line="480" w:lineRule="exact"/>
        <w:rPr>
          <w:sz w:val="24"/>
          <w:szCs w:val="24"/>
        </w:rPr>
      </w:pPr>
      <w:r w:rsidRPr="00891AD8">
        <w:rPr>
          <w:sz w:val="24"/>
          <w:szCs w:val="24"/>
        </w:rPr>
        <w:t>Uhl-Bien M</w:t>
      </w:r>
      <w:r w:rsidR="00970A2B" w:rsidRPr="00891AD8">
        <w:rPr>
          <w:sz w:val="24"/>
          <w:szCs w:val="24"/>
        </w:rPr>
        <w:t xml:space="preserve"> and</w:t>
      </w:r>
      <w:r w:rsidRPr="00891AD8">
        <w:rPr>
          <w:sz w:val="24"/>
          <w:szCs w:val="24"/>
        </w:rPr>
        <w:t xml:space="preserve"> Maslyn J (2003) Reciprocity in manager-subordinate relationships: </w:t>
      </w:r>
      <w:r w:rsidRPr="00891AD8">
        <w:rPr>
          <w:sz w:val="24"/>
          <w:szCs w:val="24"/>
        </w:rPr>
        <w:tab/>
        <w:t xml:space="preserve">Components, configurations, and outcomes. </w:t>
      </w:r>
      <w:r w:rsidRPr="00891AD8">
        <w:rPr>
          <w:i/>
          <w:sz w:val="24"/>
          <w:szCs w:val="24"/>
        </w:rPr>
        <w:t>Journal of Management</w:t>
      </w:r>
      <w:r w:rsidR="00970A2B" w:rsidRPr="00891AD8">
        <w:rPr>
          <w:sz w:val="24"/>
          <w:szCs w:val="24"/>
        </w:rPr>
        <w:t xml:space="preserve"> </w:t>
      </w:r>
      <w:r w:rsidRPr="00891AD8">
        <w:rPr>
          <w:sz w:val="24"/>
          <w:szCs w:val="24"/>
        </w:rPr>
        <w:t>29</w:t>
      </w:r>
      <w:r w:rsidR="00891AD8" w:rsidRPr="00891AD8">
        <w:rPr>
          <w:sz w:val="24"/>
          <w:szCs w:val="24"/>
        </w:rPr>
        <w:t>(4)</w:t>
      </w:r>
      <w:r w:rsidR="00970A2B" w:rsidRPr="00891AD8">
        <w:rPr>
          <w:sz w:val="24"/>
          <w:szCs w:val="24"/>
        </w:rPr>
        <w:t>:</w:t>
      </w:r>
      <w:r w:rsidRPr="00891AD8">
        <w:rPr>
          <w:sz w:val="24"/>
          <w:szCs w:val="24"/>
        </w:rPr>
        <w:t xml:space="preserve"> 511-32.</w:t>
      </w:r>
    </w:p>
    <w:p w14:paraId="72568B62" w14:textId="46902F4C" w:rsidR="00AB6524" w:rsidRDefault="00AB6524" w:rsidP="000554F2">
      <w:pPr>
        <w:pStyle w:val="CommentText"/>
        <w:spacing w:line="480" w:lineRule="exact"/>
        <w:rPr>
          <w:sz w:val="24"/>
          <w:szCs w:val="24"/>
        </w:rPr>
      </w:pPr>
      <w:r w:rsidRPr="00891AD8">
        <w:rPr>
          <w:sz w:val="24"/>
          <w:szCs w:val="24"/>
        </w:rPr>
        <w:t>van Dierendonck D, Stam D, Boersma P, Windt N</w:t>
      </w:r>
      <w:r w:rsidR="00970A2B" w:rsidRPr="00891AD8">
        <w:rPr>
          <w:sz w:val="24"/>
          <w:szCs w:val="24"/>
        </w:rPr>
        <w:t xml:space="preserve"> and</w:t>
      </w:r>
      <w:r w:rsidRPr="00891AD8">
        <w:rPr>
          <w:sz w:val="24"/>
          <w:szCs w:val="24"/>
        </w:rPr>
        <w:t xml:space="preserve"> Alkema J (2014) Same difference? </w:t>
      </w:r>
      <w:r w:rsidRPr="00891AD8">
        <w:rPr>
          <w:sz w:val="24"/>
          <w:szCs w:val="24"/>
        </w:rPr>
        <w:tab/>
        <w:t xml:space="preserve">Exploring the differential mechanisms linking servant leadership and transformational </w:t>
      </w:r>
      <w:r w:rsidRPr="00891AD8">
        <w:rPr>
          <w:sz w:val="24"/>
          <w:szCs w:val="24"/>
        </w:rPr>
        <w:tab/>
        <w:t xml:space="preserve">leadership to follower outcomes. </w:t>
      </w:r>
      <w:r w:rsidRPr="00891AD8">
        <w:rPr>
          <w:i/>
          <w:sz w:val="24"/>
          <w:szCs w:val="24"/>
        </w:rPr>
        <w:t>Leadership Quarterly</w:t>
      </w:r>
      <w:r w:rsidRPr="00891AD8">
        <w:rPr>
          <w:sz w:val="24"/>
          <w:szCs w:val="24"/>
        </w:rPr>
        <w:t xml:space="preserve"> 25</w:t>
      </w:r>
      <w:r w:rsidR="00891AD8" w:rsidRPr="00891AD8">
        <w:rPr>
          <w:sz w:val="24"/>
          <w:szCs w:val="24"/>
        </w:rPr>
        <w:t>(3)</w:t>
      </w:r>
      <w:r w:rsidR="00970A2B" w:rsidRPr="00891AD8">
        <w:rPr>
          <w:sz w:val="24"/>
          <w:szCs w:val="24"/>
        </w:rPr>
        <w:t>:</w:t>
      </w:r>
      <w:r w:rsidRPr="00891AD8">
        <w:rPr>
          <w:sz w:val="24"/>
          <w:szCs w:val="24"/>
        </w:rPr>
        <w:t xml:space="preserve"> 544-62.</w:t>
      </w:r>
    </w:p>
    <w:p w14:paraId="687FF13F" w14:textId="7FC9242D" w:rsidR="00683150" w:rsidRDefault="00AB6524" w:rsidP="000554F2">
      <w:pPr>
        <w:pStyle w:val="CommentText"/>
        <w:spacing w:line="480" w:lineRule="exact"/>
        <w:rPr>
          <w:sz w:val="24"/>
          <w:szCs w:val="24"/>
        </w:rPr>
      </w:pPr>
      <w:r w:rsidRPr="00891AD8">
        <w:rPr>
          <w:sz w:val="24"/>
          <w:szCs w:val="24"/>
        </w:rPr>
        <w:t>v</w:t>
      </w:r>
      <w:r w:rsidR="00683150" w:rsidRPr="00891AD8">
        <w:rPr>
          <w:sz w:val="24"/>
          <w:szCs w:val="24"/>
        </w:rPr>
        <w:t>an Knippenberg B</w:t>
      </w:r>
      <w:r w:rsidR="00970A2B" w:rsidRPr="00891AD8">
        <w:rPr>
          <w:sz w:val="24"/>
          <w:szCs w:val="24"/>
        </w:rPr>
        <w:t xml:space="preserve"> and</w:t>
      </w:r>
      <w:r w:rsidR="00683150" w:rsidRPr="00891AD8">
        <w:rPr>
          <w:sz w:val="24"/>
          <w:szCs w:val="24"/>
        </w:rPr>
        <w:t xml:space="preserve"> van Knippenberg D (2005) Leader self-sacrifice and leadership </w:t>
      </w:r>
      <w:r w:rsidR="00683150" w:rsidRPr="00891AD8">
        <w:rPr>
          <w:sz w:val="24"/>
          <w:szCs w:val="24"/>
        </w:rPr>
        <w:tab/>
        <w:t xml:space="preserve">effectiveness: The moderating role of leader prototypicality. </w:t>
      </w:r>
      <w:r w:rsidR="00683150" w:rsidRPr="00891AD8">
        <w:rPr>
          <w:i/>
          <w:sz w:val="24"/>
          <w:szCs w:val="24"/>
        </w:rPr>
        <w:t xml:space="preserve">Journal of Applied </w:t>
      </w:r>
      <w:r w:rsidR="00683150" w:rsidRPr="00891AD8">
        <w:rPr>
          <w:i/>
          <w:sz w:val="24"/>
          <w:szCs w:val="24"/>
        </w:rPr>
        <w:tab/>
        <w:t>Psychology</w:t>
      </w:r>
      <w:r w:rsidR="00970A2B" w:rsidRPr="00891AD8">
        <w:rPr>
          <w:sz w:val="24"/>
          <w:szCs w:val="24"/>
        </w:rPr>
        <w:t xml:space="preserve"> </w:t>
      </w:r>
      <w:r w:rsidR="00683150" w:rsidRPr="00891AD8">
        <w:rPr>
          <w:sz w:val="24"/>
          <w:szCs w:val="24"/>
        </w:rPr>
        <w:t>90</w:t>
      </w:r>
      <w:r w:rsidR="00891AD8" w:rsidRPr="00891AD8">
        <w:rPr>
          <w:sz w:val="24"/>
          <w:szCs w:val="24"/>
        </w:rPr>
        <w:t>(1)</w:t>
      </w:r>
      <w:r w:rsidR="00970A2B" w:rsidRPr="00891AD8">
        <w:rPr>
          <w:sz w:val="24"/>
          <w:szCs w:val="24"/>
        </w:rPr>
        <w:t>:</w:t>
      </w:r>
      <w:r w:rsidR="00683150" w:rsidRPr="00891AD8">
        <w:rPr>
          <w:sz w:val="24"/>
          <w:szCs w:val="24"/>
        </w:rPr>
        <w:t xml:space="preserve"> 25-37.</w:t>
      </w:r>
    </w:p>
    <w:p w14:paraId="718D1D69" w14:textId="0E57E04D" w:rsidR="00330BBC" w:rsidRPr="00330BBC" w:rsidRDefault="00330BBC" w:rsidP="000554F2">
      <w:pPr>
        <w:pStyle w:val="CommentText"/>
        <w:spacing w:line="480" w:lineRule="exact"/>
        <w:rPr>
          <w:sz w:val="24"/>
          <w:szCs w:val="24"/>
        </w:rPr>
      </w:pPr>
      <w:r w:rsidRPr="00330BBC">
        <w:rPr>
          <w:sz w:val="24"/>
          <w:szCs w:val="24"/>
        </w:rPr>
        <w:t>Walumbwa F, Mayer D, Wang P, Wang H, Workman K</w:t>
      </w:r>
      <w:r w:rsidR="00970A2B">
        <w:rPr>
          <w:sz w:val="24"/>
          <w:szCs w:val="24"/>
        </w:rPr>
        <w:t xml:space="preserve"> and</w:t>
      </w:r>
      <w:r w:rsidRPr="00330BBC">
        <w:rPr>
          <w:sz w:val="24"/>
          <w:szCs w:val="24"/>
        </w:rPr>
        <w:t xml:space="preserve"> Christensen A</w:t>
      </w:r>
      <w:r w:rsidR="00970A2B">
        <w:rPr>
          <w:sz w:val="24"/>
          <w:szCs w:val="24"/>
        </w:rPr>
        <w:t xml:space="preserve"> </w:t>
      </w:r>
      <w:r w:rsidRPr="00330BBC">
        <w:rPr>
          <w:sz w:val="24"/>
          <w:szCs w:val="24"/>
        </w:rPr>
        <w:t xml:space="preserve">(2011) Linking </w:t>
      </w:r>
      <w:r w:rsidR="00970A2B">
        <w:rPr>
          <w:sz w:val="24"/>
          <w:szCs w:val="24"/>
        </w:rPr>
        <w:tab/>
      </w:r>
      <w:r w:rsidRPr="00330BBC">
        <w:rPr>
          <w:sz w:val="24"/>
          <w:szCs w:val="24"/>
        </w:rPr>
        <w:t>ethical leadership to employee performance: The roles of leader–member exchange, self-</w:t>
      </w:r>
      <w:r w:rsidR="00970A2B">
        <w:rPr>
          <w:sz w:val="24"/>
          <w:szCs w:val="24"/>
        </w:rPr>
        <w:tab/>
      </w:r>
      <w:r w:rsidRPr="00330BBC">
        <w:rPr>
          <w:sz w:val="24"/>
          <w:szCs w:val="24"/>
        </w:rPr>
        <w:t>efficacy, and organizational identification. </w:t>
      </w:r>
      <w:r w:rsidRPr="00330BBC">
        <w:rPr>
          <w:i/>
          <w:iCs/>
          <w:sz w:val="24"/>
          <w:szCs w:val="24"/>
        </w:rPr>
        <w:t xml:space="preserve">Organizational Behavior and Human Decision </w:t>
      </w:r>
      <w:r w:rsidR="00970A2B">
        <w:rPr>
          <w:i/>
          <w:iCs/>
          <w:sz w:val="24"/>
          <w:szCs w:val="24"/>
        </w:rPr>
        <w:tab/>
      </w:r>
      <w:r w:rsidRPr="00330BBC">
        <w:rPr>
          <w:i/>
          <w:iCs/>
          <w:sz w:val="24"/>
          <w:szCs w:val="24"/>
        </w:rPr>
        <w:t>Processes</w:t>
      </w:r>
      <w:r w:rsidR="00970A2B">
        <w:rPr>
          <w:sz w:val="24"/>
          <w:szCs w:val="24"/>
        </w:rPr>
        <w:t xml:space="preserve"> </w:t>
      </w:r>
      <w:r w:rsidRPr="00970A2B">
        <w:rPr>
          <w:iCs/>
          <w:sz w:val="24"/>
          <w:szCs w:val="24"/>
        </w:rPr>
        <w:t>115</w:t>
      </w:r>
      <w:r w:rsidRPr="00330BBC">
        <w:rPr>
          <w:sz w:val="24"/>
          <w:szCs w:val="24"/>
        </w:rPr>
        <w:t>(2)</w:t>
      </w:r>
      <w:r w:rsidR="00970A2B">
        <w:rPr>
          <w:sz w:val="24"/>
          <w:szCs w:val="24"/>
        </w:rPr>
        <w:t>:</w:t>
      </w:r>
      <w:r w:rsidRPr="00330BBC">
        <w:rPr>
          <w:sz w:val="24"/>
          <w:szCs w:val="24"/>
        </w:rPr>
        <w:t xml:space="preserve"> 204-13.</w:t>
      </w:r>
    </w:p>
    <w:p w14:paraId="430AD6AE" w14:textId="06A9FB9C" w:rsidR="00AB6524" w:rsidRDefault="00AB6524" w:rsidP="000554F2">
      <w:pPr>
        <w:widowControl w:val="0"/>
        <w:autoSpaceDE w:val="0"/>
        <w:autoSpaceDN w:val="0"/>
        <w:adjustRightInd w:val="0"/>
        <w:spacing w:line="480" w:lineRule="exact"/>
        <w:ind w:left="720" w:hanging="720"/>
        <w:contextualSpacing/>
        <w:rPr>
          <w:szCs w:val="24"/>
        </w:rPr>
      </w:pPr>
      <w:r w:rsidRPr="00DE4319">
        <w:rPr>
          <w:szCs w:val="24"/>
        </w:rPr>
        <w:t>Wang H, Law K, Hackett R, Wang D</w:t>
      </w:r>
      <w:r w:rsidR="00970A2B" w:rsidRPr="00DE4319">
        <w:rPr>
          <w:szCs w:val="24"/>
        </w:rPr>
        <w:t xml:space="preserve"> and</w:t>
      </w:r>
      <w:r w:rsidRPr="00DE4319">
        <w:rPr>
          <w:szCs w:val="24"/>
        </w:rPr>
        <w:t xml:space="preserve"> Chen Z (2005) Leader-member exchange as a mediator of the relationship between transformational leadership and followers’ performance and organizational citizenship behavior. </w:t>
      </w:r>
      <w:r w:rsidRPr="00DE4319">
        <w:rPr>
          <w:i/>
          <w:szCs w:val="24"/>
        </w:rPr>
        <w:t>Academy of Management Journal</w:t>
      </w:r>
      <w:r w:rsidRPr="00DE4319">
        <w:rPr>
          <w:szCs w:val="24"/>
        </w:rPr>
        <w:t xml:space="preserve"> 48</w:t>
      </w:r>
      <w:r w:rsidR="00DE4319" w:rsidRPr="00DE4319">
        <w:rPr>
          <w:szCs w:val="24"/>
        </w:rPr>
        <w:t>(3)</w:t>
      </w:r>
      <w:r w:rsidR="00970A2B" w:rsidRPr="00DE4319">
        <w:rPr>
          <w:szCs w:val="24"/>
        </w:rPr>
        <w:t>:</w:t>
      </w:r>
      <w:r w:rsidRPr="00DE4319">
        <w:rPr>
          <w:szCs w:val="24"/>
        </w:rPr>
        <w:t xml:space="preserve"> 420-32.</w:t>
      </w:r>
    </w:p>
    <w:p w14:paraId="57B7F6F0" w14:textId="6F8923FA" w:rsidR="00AB6524" w:rsidRDefault="00AB6524" w:rsidP="000554F2">
      <w:pPr>
        <w:widowControl w:val="0"/>
        <w:autoSpaceDE w:val="0"/>
        <w:autoSpaceDN w:val="0"/>
        <w:adjustRightInd w:val="0"/>
        <w:spacing w:line="480" w:lineRule="exact"/>
        <w:ind w:left="720" w:hanging="720"/>
        <w:contextualSpacing/>
        <w:rPr>
          <w:szCs w:val="24"/>
        </w:rPr>
      </w:pPr>
      <w:r w:rsidRPr="00DE4319">
        <w:rPr>
          <w:szCs w:val="24"/>
        </w:rPr>
        <w:lastRenderedPageBreak/>
        <w:t>Wang H, Sui Y, Luthans F, Wang D</w:t>
      </w:r>
      <w:r w:rsidR="00970A2B" w:rsidRPr="00DE4319">
        <w:rPr>
          <w:szCs w:val="24"/>
        </w:rPr>
        <w:t xml:space="preserve"> and</w:t>
      </w:r>
      <w:r w:rsidRPr="00DE4319">
        <w:rPr>
          <w:szCs w:val="24"/>
        </w:rPr>
        <w:t xml:space="preserve"> Wu Y (2014) Impact of authentic leadership on performance: Role of followers’ positive psychological capital and relational processes. </w:t>
      </w:r>
      <w:r w:rsidRPr="00DE4319">
        <w:rPr>
          <w:i/>
          <w:szCs w:val="24"/>
        </w:rPr>
        <w:t>Journal of Organizational Behavior</w:t>
      </w:r>
      <w:r w:rsidR="00970A2B" w:rsidRPr="00DE4319">
        <w:rPr>
          <w:szCs w:val="24"/>
        </w:rPr>
        <w:t xml:space="preserve"> </w:t>
      </w:r>
      <w:r w:rsidRPr="00DE4319">
        <w:rPr>
          <w:szCs w:val="24"/>
        </w:rPr>
        <w:t>35</w:t>
      </w:r>
      <w:r w:rsidR="00DE4319" w:rsidRPr="00DE4319">
        <w:rPr>
          <w:szCs w:val="24"/>
        </w:rPr>
        <w:t>(1)</w:t>
      </w:r>
      <w:r w:rsidR="00970A2B" w:rsidRPr="00DE4319">
        <w:rPr>
          <w:szCs w:val="24"/>
        </w:rPr>
        <w:t>:</w:t>
      </w:r>
      <w:r w:rsidRPr="00DE4319">
        <w:rPr>
          <w:szCs w:val="24"/>
        </w:rPr>
        <w:t xml:space="preserve"> 5-21.</w:t>
      </w:r>
    </w:p>
    <w:p w14:paraId="478D7BC6" w14:textId="09267DE9" w:rsidR="00713F5F" w:rsidRPr="00713F5F" w:rsidRDefault="00713F5F" w:rsidP="000554F2">
      <w:pPr>
        <w:pStyle w:val="CommentText"/>
        <w:spacing w:line="480" w:lineRule="exact"/>
        <w:rPr>
          <w:sz w:val="24"/>
          <w:szCs w:val="24"/>
        </w:rPr>
      </w:pPr>
      <w:r w:rsidRPr="00713F5F">
        <w:rPr>
          <w:sz w:val="24"/>
          <w:szCs w:val="24"/>
        </w:rPr>
        <w:t>Wayne S</w:t>
      </w:r>
      <w:r w:rsidR="00970A2B">
        <w:rPr>
          <w:sz w:val="24"/>
          <w:szCs w:val="24"/>
        </w:rPr>
        <w:t xml:space="preserve"> and</w:t>
      </w:r>
      <w:r w:rsidRPr="00713F5F">
        <w:rPr>
          <w:sz w:val="24"/>
          <w:szCs w:val="24"/>
        </w:rPr>
        <w:t xml:space="preserve"> Liden R (1995) Effects of impression management on performance ratings: </w:t>
      </w:r>
      <w:r>
        <w:rPr>
          <w:sz w:val="24"/>
          <w:szCs w:val="24"/>
        </w:rPr>
        <w:tab/>
      </w:r>
      <w:r w:rsidRPr="00713F5F">
        <w:rPr>
          <w:sz w:val="24"/>
          <w:szCs w:val="24"/>
        </w:rPr>
        <w:t xml:space="preserve">A </w:t>
      </w:r>
      <w:r w:rsidR="00970A2B">
        <w:rPr>
          <w:sz w:val="24"/>
          <w:szCs w:val="24"/>
        </w:rPr>
        <w:tab/>
      </w:r>
      <w:r w:rsidRPr="00713F5F">
        <w:rPr>
          <w:sz w:val="24"/>
          <w:szCs w:val="24"/>
        </w:rPr>
        <w:t>longitudinal study. </w:t>
      </w:r>
      <w:r w:rsidRPr="00713F5F">
        <w:rPr>
          <w:i/>
          <w:iCs/>
          <w:sz w:val="24"/>
          <w:szCs w:val="24"/>
        </w:rPr>
        <w:t>Academy of Management</w:t>
      </w:r>
      <w:r w:rsidR="00970A2B">
        <w:rPr>
          <w:i/>
          <w:iCs/>
          <w:sz w:val="24"/>
          <w:szCs w:val="24"/>
        </w:rPr>
        <w:t xml:space="preserve"> J</w:t>
      </w:r>
      <w:r w:rsidRPr="00713F5F">
        <w:rPr>
          <w:i/>
          <w:iCs/>
          <w:sz w:val="24"/>
          <w:szCs w:val="24"/>
        </w:rPr>
        <w:t>ournal</w:t>
      </w:r>
      <w:r w:rsidRPr="00713F5F">
        <w:rPr>
          <w:sz w:val="24"/>
          <w:szCs w:val="24"/>
        </w:rPr>
        <w:t> </w:t>
      </w:r>
      <w:r w:rsidRPr="00970A2B">
        <w:rPr>
          <w:iCs/>
          <w:sz w:val="24"/>
          <w:szCs w:val="24"/>
        </w:rPr>
        <w:t>38</w:t>
      </w:r>
      <w:r w:rsidRPr="00713F5F">
        <w:rPr>
          <w:sz w:val="24"/>
          <w:szCs w:val="24"/>
        </w:rPr>
        <w:t>(1)</w:t>
      </w:r>
      <w:r w:rsidR="00970A2B">
        <w:rPr>
          <w:sz w:val="24"/>
          <w:szCs w:val="24"/>
        </w:rPr>
        <w:t>:</w:t>
      </w:r>
      <w:r w:rsidRPr="00713F5F">
        <w:rPr>
          <w:sz w:val="24"/>
          <w:szCs w:val="24"/>
        </w:rPr>
        <w:t xml:space="preserve"> 232-60.</w:t>
      </w:r>
    </w:p>
    <w:p w14:paraId="48E78280" w14:textId="5F82BCD4" w:rsidR="005E50B8" w:rsidRPr="00FB631F" w:rsidRDefault="005E50B8" w:rsidP="000554F2">
      <w:pPr>
        <w:widowControl w:val="0"/>
        <w:autoSpaceDE w:val="0"/>
        <w:autoSpaceDN w:val="0"/>
        <w:adjustRightInd w:val="0"/>
        <w:spacing w:line="480" w:lineRule="exact"/>
        <w:ind w:left="720" w:hanging="720"/>
        <w:contextualSpacing/>
      </w:pPr>
      <w:r w:rsidRPr="00A111DA">
        <w:t>Wheeler A, Shanine K, Leon M</w:t>
      </w:r>
      <w:r w:rsidR="00970A2B" w:rsidRPr="00A111DA">
        <w:t xml:space="preserve"> and</w:t>
      </w:r>
      <w:r w:rsidRPr="00A111DA">
        <w:t xml:space="preserve"> Whitman M</w:t>
      </w:r>
      <w:r w:rsidR="007967FB" w:rsidRPr="00A111DA">
        <w:t xml:space="preserve"> </w:t>
      </w:r>
      <w:r w:rsidR="00A42E11" w:rsidRPr="00A111DA">
        <w:t>(</w:t>
      </w:r>
      <w:r w:rsidR="007967FB" w:rsidRPr="00A111DA">
        <w:t>2014</w:t>
      </w:r>
      <w:r w:rsidR="00A42E11" w:rsidRPr="00A111DA">
        <w:t>)</w:t>
      </w:r>
      <w:r w:rsidRPr="00A111DA">
        <w:t xml:space="preserve"> Student-recruited samples in organizational research: A review, analysis, and guidelines for future research. </w:t>
      </w:r>
      <w:r w:rsidRPr="00A111DA">
        <w:rPr>
          <w:i/>
        </w:rPr>
        <w:t>Journal of Occupational and Organizational Psychology</w:t>
      </w:r>
      <w:r w:rsidR="00970A2B" w:rsidRPr="00A111DA">
        <w:rPr>
          <w:i/>
        </w:rPr>
        <w:t xml:space="preserve"> </w:t>
      </w:r>
      <w:r w:rsidRPr="00A111DA">
        <w:t>87</w:t>
      </w:r>
      <w:r w:rsidR="00A111DA" w:rsidRPr="00A111DA">
        <w:t>(1)</w:t>
      </w:r>
      <w:r w:rsidR="00970A2B" w:rsidRPr="00A111DA">
        <w:t>:</w:t>
      </w:r>
      <w:r w:rsidRPr="00A111DA">
        <w:t xml:space="preserve"> 1-26.</w:t>
      </w:r>
      <w:r w:rsidR="0002606E" w:rsidRPr="00FB631F">
        <w:t xml:space="preserve"> </w:t>
      </w:r>
    </w:p>
    <w:p w14:paraId="1024E7D1" w14:textId="4E080EB1" w:rsidR="001208C5" w:rsidRPr="002B11DE" w:rsidRDefault="003D6879" w:rsidP="000554F2">
      <w:pPr>
        <w:spacing w:line="480" w:lineRule="exact"/>
        <w:ind w:left="720" w:hanging="720"/>
        <w:contextualSpacing/>
        <w:rPr>
          <w:szCs w:val="24"/>
        </w:rPr>
      </w:pPr>
      <w:r w:rsidRPr="00FB631F">
        <w:rPr>
          <w:szCs w:val="24"/>
        </w:rPr>
        <w:t xml:space="preserve">Wolfe D </w:t>
      </w:r>
      <w:r w:rsidR="00A42E11">
        <w:rPr>
          <w:szCs w:val="24"/>
        </w:rPr>
        <w:t>(</w:t>
      </w:r>
      <w:r w:rsidRPr="00FB631F">
        <w:rPr>
          <w:szCs w:val="24"/>
        </w:rPr>
        <w:t>1988</w:t>
      </w:r>
      <w:r w:rsidR="00A42E11">
        <w:rPr>
          <w:szCs w:val="24"/>
        </w:rPr>
        <w:t>)</w:t>
      </w:r>
      <w:r w:rsidRPr="00FB631F">
        <w:rPr>
          <w:szCs w:val="24"/>
        </w:rPr>
        <w:t xml:space="preserve"> Is there integrity in the bottom line: Managing obstacles to executive integrity. In S. Srivastva (Ed.), </w:t>
      </w:r>
      <w:r w:rsidRPr="00A42E11">
        <w:rPr>
          <w:i/>
          <w:szCs w:val="24"/>
        </w:rPr>
        <w:t xml:space="preserve">Executive integrity: The search for high human values in </w:t>
      </w:r>
      <w:r w:rsidRPr="002B11DE">
        <w:rPr>
          <w:i/>
          <w:szCs w:val="24"/>
        </w:rPr>
        <w:t>organizational life</w:t>
      </w:r>
      <w:r w:rsidRPr="002B11DE">
        <w:rPr>
          <w:szCs w:val="24"/>
        </w:rPr>
        <w:t>. San Francisco, CA: Jossey-Bass</w:t>
      </w:r>
      <w:r w:rsidR="00970A2B">
        <w:rPr>
          <w:szCs w:val="24"/>
        </w:rPr>
        <w:t xml:space="preserve">, </w:t>
      </w:r>
      <w:r w:rsidR="00970A2B" w:rsidRPr="002B11DE">
        <w:rPr>
          <w:szCs w:val="24"/>
        </w:rPr>
        <w:t>140–71</w:t>
      </w:r>
      <w:r w:rsidR="00970A2B">
        <w:rPr>
          <w:szCs w:val="24"/>
        </w:rPr>
        <w:t>.</w:t>
      </w:r>
    </w:p>
    <w:p w14:paraId="0E84F0B4" w14:textId="7A0F97E5" w:rsidR="002B11DE" w:rsidRPr="00A111DA" w:rsidRDefault="002B11DE" w:rsidP="000554F2">
      <w:pPr>
        <w:pStyle w:val="CommentText"/>
        <w:spacing w:line="480" w:lineRule="exact"/>
        <w:rPr>
          <w:sz w:val="24"/>
          <w:szCs w:val="24"/>
        </w:rPr>
      </w:pPr>
      <w:r w:rsidRPr="00A111DA">
        <w:rPr>
          <w:sz w:val="24"/>
          <w:szCs w:val="24"/>
        </w:rPr>
        <w:t>Xu E, Huang X, Lam C</w:t>
      </w:r>
      <w:r w:rsidR="00970A2B" w:rsidRPr="00A111DA">
        <w:rPr>
          <w:sz w:val="24"/>
          <w:szCs w:val="24"/>
        </w:rPr>
        <w:t xml:space="preserve"> and</w:t>
      </w:r>
      <w:r w:rsidRPr="00A111DA">
        <w:rPr>
          <w:sz w:val="24"/>
          <w:szCs w:val="24"/>
        </w:rPr>
        <w:t xml:space="preserve"> Miao Q (2012) Abusive supervision and work behaviors: The </w:t>
      </w:r>
      <w:r w:rsidR="00970A2B" w:rsidRPr="00A111DA">
        <w:rPr>
          <w:sz w:val="24"/>
          <w:szCs w:val="24"/>
        </w:rPr>
        <w:tab/>
      </w:r>
      <w:r w:rsidRPr="00A111DA">
        <w:rPr>
          <w:sz w:val="24"/>
          <w:szCs w:val="24"/>
        </w:rPr>
        <w:t>mediating role of LMX. </w:t>
      </w:r>
      <w:r w:rsidRPr="00A111DA">
        <w:rPr>
          <w:i/>
          <w:iCs/>
          <w:sz w:val="24"/>
          <w:szCs w:val="24"/>
        </w:rPr>
        <w:t>Journal of Organizational Behavior</w:t>
      </w:r>
      <w:r w:rsidR="00970A2B" w:rsidRPr="00A111DA">
        <w:rPr>
          <w:sz w:val="24"/>
          <w:szCs w:val="24"/>
        </w:rPr>
        <w:t xml:space="preserve"> </w:t>
      </w:r>
      <w:r w:rsidRPr="00A111DA">
        <w:rPr>
          <w:iCs/>
          <w:sz w:val="24"/>
          <w:szCs w:val="24"/>
        </w:rPr>
        <w:t>33</w:t>
      </w:r>
      <w:r w:rsidR="00A111DA" w:rsidRPr="00A111DA">
        <w:rPr>
          <w:iCs/>
          <w:sz w:val="24"/>
          <w:szCs w:val="24"/>
        </w:rPr>
        <w:t>(4)</w:t>
      </w:r>
      <w:r w:rsidR="00970A2B" w:rsidRPr="00A111DA">
        <w:rPr>
          <w:iCs/>
          <w:sz w:val="24"/>
          <w:szCs w:val="24"/>
        </w:rPr>
        <w:t>:</w:t>
      </w:r>
      <w:r w:rsidRPr="00A111DA">
        <w:rPr>
          <w:sz w:val="24"/>
          <w:szCs w:val="24"/>
        </w:rPr>
        <w:t xml:space="preserve"> 531-43.</w:t>
      </w:r>
    </w:p>
    <w:p w14:paraId="79AA1F5F" w14:textId="1A77C2DC" w:rsidR="00644C7B" w:rsidRPr="004373F2" w:rsidRDefault="00AB6524" w:rsidP="000554F2">
      <w:pPr>
        <w:spacing w:line="480" w:lineRule="exact"/>
        <w:ind w:left="720" w:hanging="720"/>
        <w:contextualSpacing/>
        <w:rPr>
          <w:szCs w:val="24"/>
        </w:rPr>
      </w:pPr>
      <w:r w:rsidRPr="00A111DA">
        <w:rPr>
          <w:szCs w:val="24"/>
        </w:rPr>
        <w:t>Zell</w:t>
      </w:r>
      <w:r w:rsidR="00CC4F5B" w:rsidRPr="00A111DA">
        <w:rPr>
          <w:szCs w:val="24"/>
        </w:rPr>
        <w:t>a</w:t>
      </w:r>
      <w:r w:rsidRPr="00A111DA">
        <w:rPr>
          <w:szCs w:val="24"/>
        </w:rPr>
        <w:t>rs K, Tepper B</w:t>
      </w:r>
      <w:r w:rsidR="00970A2B" w:rsidRPr="00A111DA">
        <w:rPr>
          <w:szCs w:val="24"/>
        </w:rPr>
        <w:t xml:space="preserve"> and</w:t>
      </w:r>
      <w:r w:rsidRPr="00A111DA">
        <w:rPr>
          <w:szCs w:val="24"/>
        </w:rPr>
        <w:t xml:space="preserve"> Duffy M (2002) Abusive supervision and subordinates’ organizational citizenship behavior. </w:t>
      </w:r>
      <w:r w:rsidRPr="00A111DA">
        <w:rPr>
          <w:i/>
          <w:szCs w:val="24"/>
        </w:rPr>
        <w:t>Journal of Applied Psychology</w:t>
      </w:r>
      <w:r w:rsidRPr="00A111DA">
        <w:rPr>
          <w:szCs w:val="24"/>
        </w:rPr>
        <w:t xml:space="preserve"> 87</w:t>
      </w:r>
      <w:r w:rsidR="00A111DA" w:rsidRPr="00A111DA">
        <w:rPr>
          <w:szCs w:val="24"/>
        </w:rPr>
        <w:t>(6)</w:t>
      </w:r>
      <w:r w:rsidR="00970A2B" w:rsidRPr="00A111DA">
        <w:rPr>
          <w:szCs w:val="24"/>
        </w:rPr>
        <w:t>:</w:t>
      </w:r>
      <w:r w:rsidRPr="00A111DA">
        <w:rPr>
          <w:szCs w:val="24"/>
        </w:rPr>
        <w:t xml:space="preserve"> 1068-76.</w:t>
      </w:r>
      <w:r w:rsidR="00644C7B" w:rsidRPr="004373F2">
        <w:rPr>
          <w:szCs w:val="24"/>
        </w:rPr>
        <w:br w:type="page"/>
      </w:r>
    </w:p>
    <w:p w14:paraId="5D2E689F" w14:textId="7B072C69" w:rsidR="00FD1920" w:rsidRPr="003827BF" w:rsidRDefault="00A42E11" w:rsidP="00A42E11">
      <w:pPr>
        <w:spacing w:line="480" w:lineRule="auto"/>
        <w:ind w:left="720" w:hanging="720"/>
        <w:contextualSpacing/>
        <w:rPr>
          <w:szCs w:val="24"/>
        </w:rPr>
      </w:pPr>
      <w:r w:rsidRPr="003827BF">
        <w:rPr>
          <w:szCs w:val="24"/>
        </w:rPr>
        <w:lastRenderedPageBreak/>
        <w:t>Table</w:t>
      </w:r>
      <w:r w:rsidR="002920A9" w:rsidRPr="003827BF">
        <w:rPr>
          <w:szCs w:val="24"/>
        </w:rPr>
        <w:t xml:space="preserve"> 1</w:t>
      </w:r>
    </w:p>
    <w:p w14:paraId="58708735" w14:textId="0DD63E25" w:rsidR="00FD1920" w:rsidRPr="003827BF" w:rsidRDefault="00F05174" w:rsidP="00A42E11">
      <w:pPr>
        <w:spacing w:line="480" w:lineRule="auto"/>
        <w:ind w:left="720" w:hanging="720"/>
        <w:contextualSpacing/>
        <w:rPr>
          <w:i/>
          <w:szCs w:val="24"/>
        </w:rPr>
      </w:pPr>
      <w:r>
        <w:rPr>
          <w:i/>
          <w:szCs w:val="24"/>
        </w:rPr>
        <w:t xml:space="preserve">Study 1 – Descriptive </w:t>
      </w:r>
      <w:r w:rsidR="00FD1920" w:rsidRPr="003827BF">
        <w:rPr>
          <w:i/>
          <w:szCs w:val="24"/>
        </w:rPr>
        <w:t>Statistics, Reliability Estimates, and Study Variable Intercorrelations</w:t>
      </w:r>
    </w:p>
    <w:tbl>
      <w:tblPr>
        <w:tblW w:w="7902" w:type="dxa"/>
        <w:tblLayout w:type="fixed"/>
        <w:tblLook w:val="04A0" w:firstRow="1" w:lastRow="0" w:firstColumn="1" w:lastColumn="0" w:noHBand="0" w:noVBand="1"/>
      </w:tblPr>
      <w:tblGrid>
        <w:gridCol w:w="2700"/>
        <w:gridCol w:w="1056"/>
        <w:gridCol w:w="786"/>
        <w:gridCol w:w="839"/>
        <w:gridCol w:w="756"/>
        <w:gridCol w:w="899"/>
        <w:gridCol w:w="866"/>
      </w:tblGrid>
      <w:tr w:rsidR="00966D34" w14:paraId="78D1E825" w14:textId="00414B23" w:rsidTr="00966D34">
        <w:trPr>
          <w:trHeight w:val="315"/>
        </w:trPr>
        <w:tc>
          <w:tcPr>
            <w:tcW w:w="2700" w:type="dxa"/>
            <w:tcBorders>
              <w:top w:val="single" w:sz="4" w:space="0" w:color="auto"/>
              <w:left w:val="nil"/>
              <w:bottom w:val="single" w:sz="4" w:space="0" w:color="auto"/>
              <w:right w:val="nil"/>
            </w:tcBorders>
            <w:noWrap/>
            <w:vAlign w:val="bottom"/>
            <w:hideMark/>
          </w:tcPr>
          <w:p w14:paraId="2310EE96" w14:textId="77777777" w:rsidR="00966D34" w:rsidRDefault="00966D34" w:rsidP="007A6FF7">
            <w:pPr>
              <w:spacing w:line="276" w:lineRule="auto"/>
              <w:jc w:val="center"/>
              <w:rPr>
                <w:rFonts w:eastAsia="Times New Roman"/>
                <w:color w:val="000000"/>
                <w:szCs w:val="24"/>
              </w:rPr>
            </w:pPr>
            <w:r>
              <w:rPr>
                <w:rFonts w:eastAsia="Times New Roman"/>
                <w:color w:val="000000"/>
                <w:szCs w:val="24"/>
              </w:rPr>
              <w:t>Variables</w:t>
            </w:r>
          </w:p>
        </w:tc>
        <w:tc>
          <w:tcPr>
            <w:tcW w:w="1056" w:type="dxa"/>
            <w:tcBorders>
              <w:top w:val="single" w:sz="4" w:space="0" w:color="auto"/>
              <w:left w:val="nil"/>
              <w:bottom w:val="single" w:sz="4" w:space="0" w:color="auto"/>
              <w:right w:val="nil"/>
            </w:tcBorders>
            <w:noWrap/>
            <w:vAlign w:val="bottom"/>
            <w:hideMark/>
          </w:tcPr>
          <w:p w14:paraId="5B9DC6A9" w14:textId="77777777" w:rsidR="00966D34" w:rsidRPr="000D48D6" w:rsidRDefault="00966D34" w:rsidP="007A6FF7">
            <w:pPr>
              <w:spacing w:line="276" w:lineRule="auto"/>
              <w:jc w:val="center"/>
              <w:rPr>
                <w:rFonts w:eastAsia="Times New Roman"/>
                <w:i/>
                <w:color w:val="000000"/>
                <w:szCs w:val="24"/>
              </w:rPr>
            </w:pPr>
            <w:r w:rsidRPr="000D48D6">
              <w:rPr>
                <w:rFonts w:eastAsia="Times New Roman"/>
                <w:i/>
                <w:color w:val="000000"/>
                <w:szCs w:val="24"/>
              </w:rPr>
              <w:t>Mean</w:t>
            </w:r>
          </w:p>
        </w:tc>
        <w:tc>
          <w:tcPr>
            <w:tcW w:w="786" w:type="dxa"/>
            <w:tcBorders>
              <w:top w:val="single" w:sz="4" w:space="0" w:color="auto"/>
              <w:left w:val="nil"/>
              <w:bottom w:val="single" w:sz="4" w:space="0" w:color="auto"/>
              <w:right w:val="nil"/>
            </w:tcBorders>
            <w:noWrap/>
            <w:vAlign w:val="bottom"/>
            <w:hideMark/>
          </w:tcPr>
          <w:p w14:paraId="4EDB16E3" w14:textId="77777777" w:rsidR="00966D34" w:rsidRPr="000D48D6" w:rsidRDefault="00966D34" w:rsidP="007A6FF7">
            <w:pPr>
              <w:spacing w:line="276" w:lineRule="auto"/>
              <w:jc w:val="center"/>
              <w:rPr>
                <w:rFonts w:eastAsia="Times New Roman"/>
                <w:i/>
                <w:color w:val="000000"/>
                <w:szCs w:val="24"/>
              </w:rPr>
            </w:pPr>
            <w:r w:rsidRPr="000D48D6">
              <w:rPr>
                <w:rFonts w:eastAsia="Times New Roman"/>
                <w:i/>
                <w:color w:val="000000"/>
                <w:szCs w:val="24"/>
              </w:rPr>
              <w:t>SD</w:t>
            </w:r>
          </w:p>
        </w:tc>
        <w:tc>
          <w:tcPr>
            <w:tcW w:w="839" w:type="dxa"/>
            <w:tcBorders>
              <w:top w:val="single" w:sz="4" w:space="0" w:color="auto"/>
              <w:left w:val="nil"/>
              <w:bottom w:val="single" w:sz="4" w:space="0" w:color="auto"/>
              <w:right w:val="nil"/>
            </w:tcBorders>
            <w:noWrap/>
            <w:vAlign w:val="bottom"/>
            <w:hideMark/>
          </w:tcPr>
          <w:p w14:paraId="4609E5F8" w14:textId="77777777" w:rsidR="00966D34" w:rsidRDefault="00966D34" w:rsidP="007A6FF7">
            <w:pPr>
              <w:spacing w:line="276" w:lineRule="auto"/>
              <w:jc w:val="center"/>
              <w:rPr>
                <w:rFonts w:eastAsia="Times New Roman"/>
                <w:color w:val="000000"/>
                <w:szCs w:val="24"/>
              </w:rPr>
            </w:pPr>
            <w:r>
              <w:rPr>
                <w:rFonts w:eastAsia="Times New Roman"/>
                <w:color w:val="000000"/>
                <w:szCs w:val="24"/>
              </w:rPr>
              <w:t>1</w:t>
            </w:r>
          </w:p>
        </w:tc>
        <w:tc>
          <w:tcPr>
            <w:tcW w:w="756" w:type="dxa"/>
            <w:tcBorders>
              <w:top w:val="single" w:sz="4" w:space="0" w:color="auto"/>
              <w:left w:val="nil"/>
              <w:bottom w:val="single" w:sz="4" w:space="0" w:color="auto"/>
              <w:right w:val="nil"/>
            </w:tcBorders>
            <w:noWrap/>
            <w:vAlign w:val="bottom"/>
            <w:hideMark/>
          </w:tcPr>
          <w:p w14:paraId="04C83D54" w14:textId="77777777" w:rsidR="00966D34" w:rsidRDefault="00966D34" w:rsidP="007A6FF7">
            <w:pPr>
              <w:spacing w:line="276" w:lineRule="auto"/>
              <w:jc w:val="center"/>
              <w:rPr>
                <w:rFonts w:eastAsia="Times New Roman"/>
                <w:color w:val="000000"/>
                <w:szCs w:val="24"/>
              </w:rPr>
            </w:pPr>
            <w:r>
              <w:rPr>
                <w:rFonts w:eastAsia="Times New Roman"/>
                <w:color w:val="000000"/>
                <w:szCs w:val="24"/>
              </w:rPr>
              <w:t>2</w:t>
            </w:r>
          </w:p>
        </w:tc>
        <w:tc>
          <w:tcPr>
            <w:tcW w:w="899" w:type="dxa"/>
            <w:tcBorders>
              <w:top w:val="single" w:sz="4" w:space="0" w:color="auto"/>
              <w:left w:val="nil"/>
              <w:bottom w:val="single" w:sz="4" w:space="0" w:color="auto"/>
              <w:right w:val="nil"/>
            </w:tcBorders>
            <w:noWrap/>
            <w:vAlign w:val="bottom"/>
            <w:hideMark/>
          </w:tcPr>
          <w:p w14:paraId="10E57804" w14:textId="77777777" w:rsidR="00966D34" w:rsidRDefault="00966D34" w:rsidP="007A6FF7">
            <w:pPr>
              <w:tabs>
                <w:tab w:val="decimal" w:pos="222"/>
              </w:tabs>
              <w:spacing w:line="276" w:lineRule="auto"/>
              <w:jc w:val="center"/>
              <w:rPr>
                <w:rFonts w:eastAsia="Times New Roman"/>
                <w:color w:val="000000"/>
                <w:szCs w:val="24"/>
              </w:rPr>
            </w:pPr>
            <w:r>
              <w:rPr>
                <w:rFonts w:eastAsia="Times New Roman"/>
                <w:color w:val="000000"/>
                <w:szCs w:val="24"/>
              </w:rPr>
              <w:t>3</w:t>
            </w:r>
          </w:p>
        </w:tc>
        <w:tc>
          <w:tcPr>
            <w:tcW w:w="866" w:type="dxa"/>
            <w:tcBorders>
              <w:top w:val="single" w:sz="4" w:space="0" w:color="auto"/>
              <w:left w:val="nil"/>
              <w:bottom w:val="single" w:sz="4" w:space="0" w:color="auto"/>
              <w:right w:val="nil"/>
            </w:tcBorders>
          </w:tcPr>
          <w:p w14:paraId="4E39E348" w14:textId="77777777" w:rsidR="00966D34" w:rsidRDefault="00966D34" w:rsidP="007A6FF7">
            <w:pPr>
              <w:spacing w:line="276" w:lineRule="auto"/>
              <w:jc w:val="center"/>
              <w:rPr>
                <w:rFonts w:eastAsia="Times New Roman"/>
                <w:color w:val="000000"/>
                <w:szCs w:val="24"/>
              </w:rPr>
            </w:pPr>
            <w:r>
              <w:rPr>
                <w:rFonts w:eastAsia="Times New Roman"/>
                <w:color w:val="000000"/>
                <w:szCs w:val="24"/>
              </w:rPr>
              <w:t>4</w:t>
            </w:r>
          </w:p>
        </w:tc>
      </w:tr>
      <w:tr w:rsidR="00966D34" w14:paraId="1818909E" w14:textId="73E65BFA" w:rsidTr="00966D34">
        <w:trPr>
          <w:trHeight w:val="315"/>
        </w:trPr>
        <w:tc>
          <w:tcPr>
            <w:tcW w:w="2700" w:type="dxa"/>
            <w:noWrap/>
            <w:vAlign w:val="bottom"/>
            <w:hideMark/>
          </w:tcPr>
          <w:p w14:paraId="27C3BFCA" w14:textId="3EC8E4CC" w:rsidR="00966D34" w:rsidRDefault="00966D34" w:rsidP="007A6FF7">
            <w:pPr>
              <w:spacing w:line="276" w:lineRule="auto"/>
              <w:rPr>
                <w:rFonts w:eastAsia="Times New Roman"/>
                <w:color w:val="000000"/>
                <w:szCs w:val="24"/>
              </w:rPr>
            </w:pPr>
            <w:r>
              <w:rPr>
                <w:rFonts w:eastAsia="Times New Roman"/>
                <w:color w:val="000000"/>
                <w:szCs w:val="24"/>
              </w:rPr>
              <w:t>1. Supervisor BLM</w:t>
            </w:r>
          </w:p>
        </w:tc>
        <w:tc>
          <w:tcPr>
            <w:tcW w:w="1056" w:type="dxa"/>
            <w:noWrap/>
            <w:vAlign w:val="bottom"/>
            <w:hideMark/>
          </w:tcPr>
          <w:p w14:paraId="1BA17509" w14:textId="181F9640" w:rsidR="00966D34" w:rsidRDefault="00966D34" w:rsidP="00F05174">
            <w:pPr>
              <w:tabs>
                <w:tab w:val="decimal" w:pos="255"/>
              </w:tabs>
              <w:spacing w:line="276" w:lineRule="auto"/>
              <w:jc w:val="center"/>
              <w:rPr>
                <w:rFonts w:eastAsia="Times New Roman"/>
                <w:color w:val="000000"/>
                <w:szCs w:val="24"/>
              </w:rPr>
            </w:pPr>
            <w:r>
              <w:rPr>
                <w:rFonts w:eastAsia="Times New Roman"/>
                <w:color w:val="000000"/>
                <w:szCs w:val="24"/>
              </w:rPr>
              <w:t>2.81</w:t>
            </w:r>
          </w:p>
        </w:tc>
        <w:tc>
          <w:tcPr>
            <w:tcW w:w="786" w:type="dxa"/>
            <w:noWrap/>
            <w:vAlign w:val="bottom"/>
            <w:hideMark/>
          </w:tcPr>
          <w:p w14:paraId="1C13AD25" w14:textId="723AA607" w:rsidR="00966D34" w:rsidRDefault="00966D34" w:rsidP="00F05174">
            <w:pPr>
              <w:tabs>
                <w:tab w:val="decimal" w:pos="270"/>
              </w:tabs>
              <w:spacing w:line="276" w:lineRule="auto"/>
              <w:rPr>
                <w:rFonts w:eastAsia="Times New Roman"/>
                <w:color w:val="000000"/>
                <w:szCs w:val="24"/>
              </w:rPr>
            </w:pPr>
            <w:r>
              <w:rPr>
                <w:rFonts w:eastAsia="Times New Roman"/>
                <w:color w:val="000000"/>
                <w:szCs w:val="24"/>
              </w:rPr>
              <w:t>1.44</w:t>
            </w:r>
          </w:p>
        </w:tc>
        <w:tc>
          <w:tcPr>
            <w:tcW w:w="839" w:type="dxa"/>
            <w:noWrap/>
            <w:vAlign w:val="bottom"/>
            <w:hideMark/>
          </w:tcPr>
          <w:p w14:paraId="39E613DF" w14:textId="749660B8" w:rsidR="00966D34" w:rsidRDefault="00966D34" w:rsidP="007A6FF7">
            <w:pPr>
              <w:tabs>
                <w:tab w:val="decimal" w:pos="162"/>
              </w:tabs>
              <w:spacing w:line="276" w:lineRule="auto"/>
              <w:rPr>
                <w:rFonts w:eastAsia="Times New Roman"/>
                <w:color w:val="000000"/>
                <w:szCs w:val="24"/>
              </w:rPr>
            </w:pPr>
            <w:r>
              <w:rPr>
                <w:rFonts w:eastAsia="Times New Roman"/>
                <w:color w:val="000000"/>
                <w:szCs w:val="24"/>
              </w:rPr>
              <w:t>(.91)</w:t>
            </w:r>
          </w:p>
        </w:tc>
        <w:tc>
          <w:tcPr>
            <w:tcW w:w="756" w:type="dxa"/>
            <w:noWrap/>
            <w:vAlign w:val="center"/>
            <w:hideMark/>
          </w:tcPr>
          <w:p w14:paraId="4A952B07" w14:textId="77777777" w:rsidR="00966D34" w:rsidRDefault="00966D34" w:rsidP="007A6FF7">
            <w:pPr>
              <w:tabs>
                <w:tab w:val="decimal" w:pos="160"/>
              </w:tabs>
              <w:spacing w:line="276" w:lineRule="auto"/>
              <w:rPr>
                <w:rFonts w:asciiTheme="minorHAnsi" w:hAnsiTheme="minorHAnsi"/>
                <w:sz w:val="22"/>
              </w:rPr>
            </w:pPr>
          </w:p>
        </w:tc>
        <w:tc>
          <w:tcPr>
            <w:tcW w:w="899" w:type="dxa"/>
            <w:noWrap/>
            <w:vAlign w:val="bottom"/>
            <w:hideMark/>
          </w:tcPr>
          <w:p w14:paraId="57A07D4A" w14:textId="77777777" w:rsidR="00966D34" w:rsidRDefault="00966D34" w:rsidP="007A6FF7">
            <w:pPr>
              <w:tabs>
                <w:tab w:val="decimal" w:pos="222"/>
              </w:tabs>
              <w:spacing w:line="276" w:lineRule="auto"/>
              <w:rPr>
                <w:rFonts w:asciiTheme="minorHAnsi" w:hAnsiTheme="minorHAnsi"/>
                <w:sz w:val="22"/>
              </w:rPr>
            </w:pPr>
          </w:p>
        </w:tc>
        <w:tc>
          <w:tcPr>
            <w:tcW w:w="866" w:type="dxa"/>
          </w:tcPr>
          <w:p w14:paraId="42F3603E" w14:textId="77777777" w:rsidR="00966D34" w:rsidRDefault="00966D34" w:rsidP="007A6FF7">
            <w:pPr>
              <w:spacing w:line="276" w:lineRule="auto"/>
              <w:rPr>
                <w:rFonts w:asciiTheme="minorHAnsi" w:hAnsiTheme="minorHAnsi"/>
                <w:sz w:val="22"/>
              </w:rPr>
            </w:pPr>
          </w:p>
        </w:tc>
      </w:tr>
      <w:tr w:rsidR="00966D34" w14:paraId="6206BF44" w14:textId="6D5085FF" w:rsidTr="00966D34">
        <w:trPr>
          <w:trHeight w:val="315"/>
        </w:trPr>
        <w:tc>
          <w:tcPr>
            <w:tcW w:w="2700" w:type="dxa"/>
            <w:noWrap/>
            <w:vAlign w:val="bottom"/>
            <w:hideMark/>
          </w:tcPr>
          <w:p w14:paraId="0170C5DC" w14:textId="38781A4C" w:rsidR="00966D34" w:rsidRDefault="00966D34" w:rsidP="007A6FF7">
            <w:pPr>
              <w:spacing w:line="276" w:lineRule="auto"/>
              <w:rPr>
                <w:rFonts w:eastAsia="Times New Roman"/>
                <w:color w:val="000000"/>
                <w:szCs w:val="24"/>
              </w:rPr>
            </w:pPr>
            <w:r>
              <w:rPr>
                <w:rFonts w:eastAsia="Times New Roman"/>
                <w:color w:val="000000"/>
                <w:szCs w:val="24"/>
              </w:rPr>
              <w:t>2. Employee BLM</w:t>
            </w:r>
          </w:p>
        </w:tc>
        <w:tc>
          <w:tcPr>
            <w:tcW w:w="1056" w:type="dxa"/>
            <w:noWrap/>
            <w:vAlign w:val="bottom"/>
            <w:hideMark/>
          </w:tcPr>
          <w:p w14:paraId="5E632ED6" w14:textId="0BDEB3AC" w:rsidR="00966D34" w:rsidRDefault="00966D34" w:rsidP="00F05174">
            <w:pPr>
              <w:tabs>
                <w:tab w:val="decimal" w:pos="255"/>
              </w:tabs>
              <w:spacing w:line="276" w:lineRule="auto"/>
              <w:jc w:val="center"/>
              <w:rPr>
                <w:rFonts w:eastAsia="Times New Roman"/>
                <w:color w:val="000000"/>
                <w:szCs w:val="24"/>
              </w:rPr>
            </w:pPr>
            <w:r>
              <w:rPr>
                <w:rFonts w:eastAsia="Times New Roman"/>
                <w:color w:val="000000"/>
                <w:szCs w:val="24"/>
              </w:rPr>
              <w:t>2.90</w:t>
            </w:r>
          </w:p>
        </w:tc>
        <w:tc>
          <w:tcPr>
            <w:tcW w:w="786" w:type="dxa"/>
            <w:noWrap/>
            <w:vAlign w:val="bottom"/>
            <w:hideMark/>
          </w:tcPr>
          <w:p w14:paraId="1E089E23" w14:textId="19A04FC8" w:rsidR="00966D34" w:rsidRDefault="00966D34" w:rsidP="00F05174">
            <w:pPr>
              <w:tabs>
                <w:tab w:val="decimal" w:pos="270"/>
              </w:tabs>
              <w:spacing w:line="276" w:lineRule="auto"/>
              <w:rPr>
                <w:rFonts w:eastAsia="Times New Roman"/>
                <w:color w:val="000000"/>
                <w:szCs w:val="24"/>
              </w:rPr>
            </w:pPr>
            <w:r>
              <w:rPr>
                <w:rFonts w:eastAsia="Times New Roman"/>
                <w:color w:val="000000"/>
                <w:szCs w:val="24"/>
              </w:rPr>
              <w:t>1.08</w:t>
            </w:r>
          </w:p>
        </w:tc>
        <w:tc>
          <w:tcPr>
            <w:tcW w:w="839" w:type="dxa"/>
            <w:noWrap/>
            <w:vAlign w:val="bottom"/>
            <w:hideMark/>
          </w:tcPr>
          <w:p w14:paraId="4BA77437" w14:textId="5C1424CF" w:rsidR="00966D34" w:rsidRDefault="00966D34" w:rsidP="007A6FF7">
            <w:pPr>
              <w:tabs>
                <w:tab w:val="decimal" w:pos="162"/>
              </w:tabs>
              <w:spacing w:line="276" w:lineRule="auto"/>
              <w:rPr>
                <w:rFonts w:eastAsia="Times New Roman"/>
                <w:color w:val="000000"/>
                <w:szCs w:val="24"/>
              </w:rPr>
            </w:pPr>
            <w:r>
              <w:rPr>
                <w:rFonts w:eastAsia="Times New Roman"/>
                <w:color w:val="000000"/>
                <w:szCs w:val="24"/>
              </w:rPr>
              <w:t>.41</w:t>
            </w:r>
            <w:r w:rsidRPr="007111AA">
              <w:rPr>
                <w:rFonts w:eastAsia="Times New Roman"/>
                <w:color w:val="000000"/>
                <w:szCs w:val="24"/>
                <w:vertAlign w:val="superscript"/>
              </w:rPr>
              <w:t>**</w:t>
            </w:r>
          </w:p>
        </w:tc>
        <w:tc>
          <w:tcPr>
            <w:tcW w:w="756" w:type="dxa"/>
            <w:noWrap/>
            <w:vAlign w:val="center"/>
            <w:hideMark/>
          </w:tcPr>
          <w:p w14:paraId="7222311A" w14:textId="10B70CEA" w:rsidR="00966D34" w:rsidRDefault="00966D34" w:rsidP="007A6FF7">
            <w:pPr>
              <w:tabs>
                <w:tab w:val="decimal" w:pos="160"/>
              </w:tabs>
              <w:spacing w:line="276" w:lineRule="auto"/>
              <w:rPr>
                <w:rFonts w:eastAsia="Times New Roman"/>
                <w:color w:val="000000"/>
                <w:szCs w:val="24"/>
              </w:rPr>
            </w:pPr>
            <w:r>
              <w:rPr>
                <w:rFonts w:eastAsia="Times New Roman"/>
                <w:color w:val="000000"/>
                <w:szCs w:val="24"/>
              </w:rPr>
              <w:t xml:space="preserve"> (.77)</w:t>
            </w:r>
          </w:p>
        </w:tc>
        <w:tc>
          <w:tcPr>
            <w:tcW w:w="899" w:type="dxa"/>
            <w:noWrap/>
            <w:vAlign w:val="bottom"/>
            <w:hideMark/>
          </w:tcPr>
          <w:p w14:paraId="24C2AB75" w14:textId="77777777" w:rsidR="00966D34" w:rsidRDefault="00966D34" w:rsidP="007A6FF7">
            <w:pPr>
              <w:tabs>
                <w:tab w:val="decimal" w:pos="222"/>
              </w:tabs>
              <w:spacing w:line="276" w:lineRule="auto"/>
              <w:rPr>
                <w:rFonts w:asciiTheme="minorHAnsi" w:hAnsiTheme="minorHAnsi"/>
                <w:sz w:val="22"/>
              </w:rPr>
            </w:pPr>
          </w:p>
        </w:tc>
        <w:tc>
          <w:tcPr>
            <w:tcW w:w="866" w:type="dxa"/>
          </w:tcPr>
          <w:p w14:paraId="5B386877" w14:textId="77777777" w:rsidR="00966D34" w:rsidRDefault="00966D34" w:rsidP="007A6FF7">
            <w:pPr>
              <w:spacing w:line="276" w:lineRule="auto"/>
              <w:rPr>
                <w:rFonts w:asciiTheme="minorHAnsi" w:hAnsiTheme="minorHAnsi"/>
                <w:sz w:val="22"/>
              </w:rPr>
            </w:pPr>
          </w:p>
        </w:tc>
      </w:tr>
      <w:tr w:rsidR="00966D34" w14:paraId="68012359" w14:textId="171E4179" w:rsidTr="00966D34">
        <w:trPr>
          <w:trHeight w:val="315"/>
        </w:trPr>
        <w:tc>
          <w:tcPr>
            <w:tcW w:w="2700" w:type="dxa"/>
            <w:noWrap/>
            <w:vAlign w:val="bottom"/>
            <w:hideMark/>
          </w:tcPr>
          <w:p w14:paraId="37E47F00" w14:textId="2A8C4C9F" w:rsidR="00966D34" w:rsidRDefault="00966D34" w:rsidP="004373F2">
            <w:pPr>
              <w:spacing w:line="276" w:lineRule="auto"/>
              <w:rPr>
                <w:rFonts w:eastAsia="Times New Roman"/>
                <w:color w:val="000000"/>
                <w:szCs w:val="24"/>
              </w:rPr>
            </w:pPr>
            <w:r>
              <w:rPr>
                <w:rFonts w:eastAsia="Times New Roman"/>
                <w:color w:val="000000"/>
                <w:szCs w:val="24"/>
              </w:rPr>
              <w:t>3. LMX</w:t>
            </w:r>
          </w:p>
        </w:tc>
        <w:tc>
          <w:tcPr>
            <w:tcW w:w="1056" w:type="dxa"/>
            <w:noWrap/>
            <w:vAlign w:val="bottom"/>
            <w:hideMark/>
          </w:tcPr>
          <w:p w14:paraId="53E90109" w14:textId="2876A523" w:rsidR="00966D34" w:rsidRDefault="00966D34" w:rsidP="00F05174">
            <w:pPr>
              <w:tabs>
                <w:tab w:val="decimal" w:pos="255"/>
              </w:tabs>
              <w:spacing w:line="276" w:lineRule="auto"/>
              <w:jc w:val="center"/>
              <w:rPr>
                <w:rFonts w:eastAsia="Times New Roman"/>
                <w:color w:val="000000"/>
                <w:szCs w:val="24"/>
              </w:rPr>
            </w:pPr>
            <w:r>
              <w:rPr>
                <w:rFonts w:eastAsia="Times New Roman"/>
                <w:color w:val="000000"/>
                <w:szCs w:val="24"/>
              </w:rPr>
              <w:t>5.90</w:t>
            </w:r>
          </w:p>
        </w:tc>
        <w:tc>
          <w:tcPr>
            <w:tcW w:w="786" w:type="dxa"/>
            <w:noWrap/>
            <w:vAlign w:val="bottom"/>
            <w:hideMark/>
          </w:tcPr>
          <w:p w14:paraId="2CD98E89" w14:textId="3620F974" w:rsidR="00966D34" w:rsidRDefault="00966D34" w:rsidP="00F05174">
            <w:pPr>
              <w:tabs>
                <w:tab w:val="decimal" w:pos="270"/>
              </w:tabs>
              <w:spacing w:line="276" w:lineRule="auto"/>
              <w:rPr>
                <w:rFonts w:eastAsia="Times New Roman"/>
                <w:color w:val="000000"/>
                <w:szCs w:val="24"/>
              </w:rPr>
            </w:pPr>
            <w:r>
              <w:rPr>
                <w:rFonts w:eastAsia="Times New Roman"/>
                <w:color w:val="000000"/>
                <w:szCs w:val="24"/>
              </w:rPr>
              <w:t>0.95</w:t>
            </w:r>
          </w:p>
        </w:tc>
        <w:tc>
          <w:tcPr>
            <w:tcW w:w="839" w:type="dxa"/>
            <w:noWrap/>
            <w:vAlign w:val="bottom"/>
            <w:hideMark/>
          </w:tcPr>
          <w:p w14:paraId="313DF690" w14:textId="59826810" w:rsidR="00966D34" w:rsidRDefault="00966D34" w:rsidP="007A6FF7">
            <w:pPr>
              <w:tabs>
                <w:tab w:val="decimal" w:pos="162"/>
              </w:tabs>
              <w:spacing w:line="276" w:lineRule="auto"/>
              <w:rPr>
                <w:rFonts w:eastAsia="Times New Roman"/>
                <w:color w:val="000000"/>
                <w:szCs w:val="24"/>
              </w:rPr>
            </w:pPr>
            <w:r>
              <w:rPr>
                <w:rFonts w:eastAsia="Times New Roman"/>
                <w:color w:val="000000"/>
                <w:szCs w:val="24"/>
              </w:rPr>
              <w:t xml:space="preserve"> -.36</w:t>
            </w:r>
            <w:r w:rsidRPr="007111AA">
              <w:rPr>
                <w:rFonts w:eastAsia="Times New Roman"/>
                <w:color w:val="000000"/>
                <w:szCs w:val="24"/>
                <w:vertAlign w:val="superscript"/>
              </w:rPr>
              <w:t>**</w:t>
            </w:r>
          </w:p>
        </w:tc>
        <w:tc>
          <w:tcPr>
            <w:tcW w:w="756" w:type="dxa"/>
            <w:noWrap/>
            <w:vAlign w:val="center"/>
            <w:hideMark/>
          </w:tcPr>
          <w:p w14:paraId="3128AF28" w14:textId="7BD86C97" w:rsidR="00966D34" w:rsidRDefault="00966D34" w:rsidP="007A6FF7">
            <w:pPr>
              <w:tabs>
                <w:tab w:val="decimal" w:pos="160"/>
              </w:tabs>
              <w:spacing w:line="276" w:lineRule="auto"/>
              <w:rPr>
                <w:rFonts w:eastAsia="Times New Roman"/>
                <w:color w:val="000000"/>
                <w:szCs w:val="24"/>
              </w:rPr>
            </w:pPr>
            <w:r>
              <w:rPr>
                <w:rFonts w:eastAsia="Times New Roman"/>
                <w:color w:val="000000"/>
                <w:szCs w:val="24"/>
              </w:rPr>
              <w:t xml:space="preserve"> .05</w:t>
            </w:r>
          </w:p>
        </w:tc>
        <w:tc>
          <w:tcPr>
            <w:tcW w:w="899" w:type="dxa"/>
            <w:noWrap/>
            <w:vAlign w:val="bottom"/>
            <w:hideMark/>
          </w:tcPr>
          <w:p w14:paraId="00D457E5" w14:textId="5CF95A98" w:rsidR="00966D34" w:rsidRDefault="00966D34" w:rsidP="007A6FF7">
            <w:pPr>
              <w:tabs>
                <w:tab w:val="decimal" w:pos="222"/>
              </w:tabs>
              <w:spacing w:line="276" w:lineRule="auto"/>
              <w:rPr>
                <w:rFonts w:eastAsia="Times New Roman"/>
                <w:color w:val="000000"/>
                <w:szCs w:val="24"/>
              </w:rPr>
            </w:pPr>
            <w:r>
              <w:rPr>
                <w:rFonts w:eastAsia="Times New Roman"/>
                <w:color w:val="000000"/>
                <w:szCs w:val="24"/>
              </w:rPr>
              <w:t>(.94)</w:t>
            </w:r>
          </w:p>
        </w:tc>
        <w:tc>
          <w:tcPr>
            <w:tcW w:w="866" w:type="dxa"/>
          </w:tcPr>
          <w:p w14:paraId="6D3C8ECE" w14:textId="77777777" w:rsidR="00966D34" w:rsidRDefault="00966D34" w:rsidP="007A6FF7">
            <w:pPr>
              <w:spacing w:line="276" w:lineRule="auto"/>
              <w:rPr>
                <w:rFonts w:eastAsia="Times New Roman"/>
                <w:color w:val="000000"/>
                <w:szCs w:val="24"/>
              </w:rPr>
            </w:pPr>
          </w:p>
        </w:tc>
      </w:tr>
      <w:tr w:rsidR="00966D34" w14:paraId="3D5AFD5F" w14:textId="091C4AEB" w:rsidTr="00966D34">
        <w:trPr>
          <w:trHeight w:val="315"/>
        </w:trPr>
        <w:tc>
          <w:tcPr>
            <w:tcW w:w="2700" w:type="dxa"/>
            <w:tcBorders>
              <w:bottom w:val="single" w:sz="4" w:space="0" w:color="auto"/>
            </w:tcBorders>
            <w:noWrap/>
            <w:vAlign w:val="bottom"/>
          </w:tcPr>
          <w:p w14:paraId="0EB60046" w14:textId="6A3CDFCE" w:rsidR="00966D34" w:rsidRDefault="00966D34" w:rsidP="007A6FF7">
            <w:pPr>
              <w:spacing w:line="276" w:lineRule="auto"/>
              <w:rPr>
                <w:rFonts w:eastAsia="Times New Roman"/>
                <w:color w:val="000000"/>
                <w:szCs w:val="24"/>
              </w:rPr>
            </w:pPr>
            <w:r>
              <w:rPr>
                <w:rFonts w:eastAsia="Times New Roman"/>
                <w:color w:val="000000"/>
                <w:szCs w:val="24"/>
              </w:rPr>
              <w:t>4. Task performance</w:t>
            </w:r>
          </w:p>
        </w:tc>
        <w:tc>
          <w:tcPr>
            <w:tcW w:w="1056" w:type="dxa"/>
            <w:tcBorders>
              <w:bottom w:val="single" w:sz="4" w:space="0" w:color="auto"/>
            </w:tcBorders>
            <w:noWrap/>
            <w:vAlign w:val="bottom"/>
          </w:tcPr>
          <w:p w14:paraId="77354954" w14:textId="7DD5EB3E" w:rsidR="00966D34" w:rsidRDefault="00966D34" w:rsidP="00F05174">
            <w:pPr>
              <w:tabs>
                <w:tab w:val="decimal" w:pos="255"/>
              </w:tabs>
              <w:spacing w:line="276" w:lineRule="auto"/>
              <w:jc w:val="center"/>
              <w:rPr>
                <w:rFonts w:eastAsia="Times New Roman"/>
                <w:color w:val="000000"/>
                <w:szCs w:val="24"/>
              </w:rPr>
            </w:pPr>
            <w:r>
              <w:rPr>
                <w:rFonts w:eastAsia="Times New Roman"/>
                <w:color w:val="000000"/>
                <w:szCs w:val="24"/>
              </w:rPr>
              <w:t>6.43</w:t>
            </w:r>
          </w:p>
        </w:tc>
        <w:tc>
          <w:tcPr>
            <w:tcW w:w="786" w:type="dxa"/>
            <w:tcBorders>
              <w:bottom w:val="single" w:sz="4" w:space="0" w:color="auto"/>
            </w:tcBorders>
            <w:noWrap/>
            <w:vAlign w:val="bottom"/>
          </w:tcPr>
          <w:p w14:paraId="524B1BCB" w14:textId="06513D64" w:rsidR="00966D34" w:rsidRDefault="00966D34" w:rsidP="00F05174">
            <w:pPr>
              <w:tabs>
                <w:tab w:val="decimal" w:pos="270"/>
              </w:tabs>
              <w:spacing w:line="276" w:lineRule="auto"/>
              <w:rPr>
                <w:rFonts w:eastAsia="Times New Roman"/>
                <w:color w:val="000000"/>
                <w:szCs w:val="24"/>
              </w:rPr>
            </w:pPr>
            <w:r>
              <w:rPr>
                <w:rFonts w:eastAsia="Times New Roman"/>
                <w:color w:val="000000"/>
                <w:szCs w:val="24"/>
              </w:rPr>
              <w:t>0.71</w:t>
            </w:r>
          </w:p>
        </w:tc>
        <w:tc>
          <w:tcPr>
            <w:tcW w:w="839" w:type="dxa"/>
            <w:tcBorders>
              <w:bottom w:val="single" w:sz="4" w:space="0" w:color="auto"/>
            </w:tcBorders>
            <w:noWrap/>
            <w:vAlign w:val="bottom"/>
          </w:tcPr>
          <w:p w14:paraId="26761363" w14:textId="109FD768" w:rsidR="00966D34" w:rsidRDefault="00966D34" w:rsidP="007A6FF7">
            <w:pPr>
              <w:tabs>
                <w:tab w:val="decimal" w:pos="162"/>
              </w:tabs>
              <w:spacing w:line="276" w:lineRule="auto"/>
              <w:rPr>
                <w:rFonts w:eastAsia="Times New Roman"/>
                <w:color w:val="000000"/>
                <w:szCs w:val="24"/>
              </w:rPr>
            </w:pPr>
            <w:r>
              <w:rPr>
                <w:rFonts w:eastAsia="Times New Roman"/>
                <w:color w:val="000000"/>
                <w:szCs w:val="24"/>
              </w:rPr>
              <w:t>-.15</w:t>
            </w:r>
            <w:r w:rsidRPr="007111AA">
              <w:rPr>
                <w:rFonts w:eastAsia="Times New Roman"/>
                <w:color w:val="000000"/>
                <w:szCs w:val="24"/>
                <w:vertAlign w:val="superscript"/>
              </w:rPr>
              <w:t>*</w:t>
            </w:r>
          </w:p>
        </w:tc>
        <w:tc>
          <w:tcPr>
            <w:tcW w:w="756" w:type="dxa"/>
            <w:tcBorders>
              <w:bottom w:val="single" w:sz="4" w:space="0" w:color="auto"/>
            </w:tcBorders>
            <w:noWrap/>
            <w:vAlign w:val="center"/>
          </w:tcPr>
          <w:p w14:paraId="1AD2923C" w14:textId="5456E84E" w:rsidR="00966D34" w:rsidRDefault="00966D34" w:rsidP="007A6FF7">
            <w:pPr>
              <w:tabs>
                <w:tab w:val="decimal" w:pos="160"/>
              </w:tabs>
              <w:spacing w:line="276" w:lineRule="auto"/>
              <w:rPr>
                <w:rFonts w:eastAsia="Times New Roman"/>
                <w:color w:val="000000"/>
                <w:szCs w:val="24"/>
              </w:rPr>
            </w:pPr>
            <w:r>
              <w:rPr>
                <w:rFonts w:eastAsia="Times New Roman"/>
                <w:color w:val="000000"/>
                <w:szCs w:val="24"/>
              </w:rPr>
              <w:t xml:space="preserve"> -.09</w:t>
            </w:r>
          </w:p>
        </w:tc>
        <w:tc>
          <w:tcPr>
            <w:tcW w:w="899" w:type="dxa"/>
            <w:tcBorders>
              <w:bottom w:val="single" w:sz="4" w:space="0" w:color="auto"/>
            </w:tcBorders>
            <w:noWrap/>
            <w:vAlign w:val="bottom"/>
          </w:tcPr>
          <w:p w14:paraId="1B40D666" w14:textId="11F50EE7" w:rsidR="00966D34" w:rsidRDefault="00966D34" w:rsidP="007A6FF7">
            <w:pPr>
              <w:tabs>
                <w:tab w:val="decimal" w:pos="222"/>
              </w:tabs>
              <w:spacing w:line="276" w:lineRule="auto"/>
              <w:rPr>
                <w:rFonts w:eastAsia="Times New Roman"/>
                <w:color w:val="000000"/>
                <w:szCs w:val="24"/>
              </w:rPr>
            </w:pPr>
            <w:r>
              <w:rPr>
                <w:rFonts w:eastAsia="Times New Roman"/>
                <w:color w:val="000000"/>
                <w:szCs w:val="24"/>
              </w:rPr>
              <w:t>.24</w:t>
            </w:r>
            <w:r>
              <w:rPr>
                <w:rFonts w:eastAsia="Times New Roman"/>
                <w:color w:val="000000"/>
                <w:szCs w:val="24"/>
                <w:vertAlign w:val="superscript"/>
              </w:rPr>
              <w:t>**</w:t>
            </w:r>
          </w:p>
        </w:tc>
        <w:tc>
          <w:tcPr>
            <w:tcW w:w="866" w:type="dxa"/>
            <w:tcBorders>
              <w:bottom w:val="single" w:sz="4" w:space="0" w:color="auto"/>
            </w:tcBorders>
          </w:tcPr>
          <w:p w14:paraId="216DCF4A" w14:textId="6DA91FB6" w:rsidR="00966D34" w:rsidRDefault="00966D34" w:rsidP="000D48D6">
            <w:pPr>
              <w:tabs>
                <w:tab w:val="decimal" w:pos="270"/>
              </w:tabs>
              <w:spacing w:line="276" w:lineRule="auto"/>
              <w:rPr>
                <w:rFonts w:eastAsia="Times New Roman"/>
                <w:color w:val="000000"/>
                <w:szCs w:val="24"/>
              </w:rPr>
            </w:pPr>
            <w:r>
              <w:rPr>
                <w:rFonts w:eastAsia="Times New Roman"/>
                <w:color w:val="000000"/>
                <w:szCs w:val="24"/>
              </w:rPr>
              <w:t>(.94)</w:t>
            </w:r>
          </w:p>
        </w:tc>
      </w:tr>
    </w:tbl>
    <w:p w14:paraId="669F4F07" w14:textId="03F25A2D" w:rsidR="000D48D6" w:rsidRDefault="000D48D6" w:rsidP="000D48D6">
      <w:r w:rsidRPr="00EC3C7B">
        <w:rPr>
          <w:i/>
        </w:rPr>
        <w:t>Note</w:t>
      </w:r>
      <w:r>
        <w:t xml:space="preserve">. </w:t>
      </w:r>
      <w:r w:rsidRPr="00EC3C7B">
        <w:rPr>
          <w:i/>
        </w:rPr>
        <w:t>N</w:t>
      </w:r>
      <w:r w:rsidR="00B95384">
        <w:t xml:space="preserve"> = 18</w:t>
      </w:r>
      <w:r>
        <w:t>9. Cronbach’s alphas are shown on the diagonal.</w:t>
      </w:r>
    </w:p>
    <w:p w14:paraId="41EB56F6" w14:textId="00D5BD16" w:rsidR="00F05174" w:rsidRPr="00F05174" w:rsidRDefault="00F05174" w:rsidP="00F05174">
      <w:pPr>
        <w:rPr>
          <w:rFonts w:eastAsia="Times New Roman"/>
          <w:szCs w:val="24"/>
        </w:rPr>
      </w:pPr>
      <w:r w:rsidRPr="00F05174">
        <w:rPr>
          <w:rFonts w:eastAsia="Times New Roman"/>
          <w:szCs w:val="24"/>
          <w:vertAlign w:val="superscript"/>
        </w:rPr>
        <w:t>a</w:t>
      </w:r>
      <w:r w:rsidRPr="00F05174">
        <w:rPr>
          <w:rFonts w:eastAsia="Times New Roman"/>
          <w:szCs w:val="24"/>
        </w:rPr>
        <w:t xml:space="preserve"> employee demographic</w:t>
      </w:r>
      <w:r>
        <w:rPr>
          <w:rFonts w:eastAsia="Times New Roman"/>
          <w:szCs w:val="24"/>
        </w:rPr>
        <w:t>.</w:t>
      </w:r>
      <w:r w:rsidRPr="00F05174">
        <w:rPr>
          <w:rFonts w:eastAsia="Times New Roman"/>
          <w:szCs w:val="24"/>
        </w:rPr>
        <w:t xml:space="preserve"> </w:t>
      </w:r>
    </w:p>
    <w:p w14:paraId="62C8FC6E" w14:textId="54784FD3" w:rsidR="000D48D6" w:rsidRDefault="000D48D6" w:rsidP="000D48D6">
      <w:r w:rsidRPr="00663A1A">
        <w:rPr>
          <w:vertAlign w:val="superscript"/>
        </w:rPr>
        <w:t>**</w:t>
      </w:r>
      <w:r w:rsidRPr="003854E1">
        <w:t xml:space="preserve"> </w:t>
      </w:r>
      <w:r>
        <w:rPr>
          <w:i/>
        </w:rPr>
        <w:t>p</w:t>
      </w:r>
      <w:r>
        <w:t xml:space="preserve"> &lt; .01</w:t>
      </w:r>
      <w:r w:rsidRPr="003854E1">
        <w:t xml:space="preserve"> (2-tailed)</w:t>
      </w:r>
      <w:r>
        <w:t xml:space="preserve">, </w:t>
      </w:r>
      <w:r w:rsidRPr="00C35D42">
        <w:rPr>
          <w:vertAlign w:val="superscript"/>
        </w:rPr>
        <w:t>*</w:t>
      </w:r>
      <w:r>
        <w:t xml:space="preserve"> </w:t>
      </w:r>
      <w:r w:rsidRPr="00A451B1">
        <w:rPr>
          <w:i/>
        </w:rPr>
        <w:t>p</w:t>
      </w:r>
      <w:r>
        <w:t xml:space="preserve"> &lt; .05 (2-tailed)</w:t>
      </w:r>
      <w:r w:rsidRPr="003854E1">
        <w:t>.</w:t>
      </w:r>
    </w:p>
    <w:p w14:paraId="269B43D8" w14:textId="77777777" w:rsidR="00F05174" w:rsidRDefault="00F05174" w:rsidP="000D48D6"/>
    <w:p w14:paraId="3C667934" w14:textId="0547AEAB" w:rsidR="000D48D6" w:rsidRDefault="000D48D6" w:rsidP="00A42E11"/>
    <w:p w14:paraId="2A0492F7" w14:textId="2BD38B1A" w:rsidR="000D48D6" w:rsidRDefault="000D48D6" w:rsidP="00A42E11"/>
    <w:p w14:paraId="6D8C1E36" w14:textId="702481B4" w:rsidR="000D48D6" w:rsidRDefault="000D48D6" w:rsidP="00A42E11"/>
    <w:p w14:paraId="4390B985" w14:textId="77777777" w:rsidR="000D48D6" w:rsidRPr="00FD1920" w:rsidRDefault="000D48D6" w:rsidP="00A42E11">
      <w:pPr>
        <w:rPr>
          <w:szCs w:val="24"/>
        </w:rPr>
        <w:sectPr w:rsidR="000D48D6" w:rsidRPr="00FD1920" w:rsidSect="00CE1FC5">
          <w:headerReference w:type="default" r:id="rId8"/>
          <w:headerReference w:type="first" r:id="rId9"/>
          <w:pgSz w:w="12240" w:h="15840"/>
          <w:pgMar w:top="1440" w:right="1440" w:bottom="1440" w:left="1440" w:header="720" w:footer="720" w:gutter="0"/>
          <w:cols w:space="720"/>
          <w:titlePg/>
          <w:docGrid w:linePitch="326"/>
        </w:sectPr>
      </w:pPr>
    </w:p>
    <w:p w14:paraId="7133F9BB" w14:textId="38A62B4C" w:rsidR="00FD1920" w:rsidRPr="003827BF" w:rsidRDefault="00A42E11" w:rsidP="00A42E11">
      <w:pPr>
        <w:spacing w:line="480" w:lineRule="auto"/>
        <w:rPr>
          <w:szCs w:val="24"/>
        </w:rPr>
      </w:pPr>
      <w:r w:rsidRPr="003827BF">
        <w:rPr>
          <w:szCs w:val="24"/>
        </w:rPr>
        <w:lastRenderedPageBreak/>
        <w:t>Table</w:t>
      </w:r>
      <w:r w:rsidR="002920A9" w:rsidRPr="003827BF">
        <w:rPr>
          <w:szCs w:val="24"/>
        </w:rPr>
        <w:t xml:space="preserve"> </w:t>
      </w:r>
      <w:r w:rsidR="00A6493D">
        <w:rPr>
          <w:szCs w:val="24"/>
        </w:rPr>
        <w:t>2</w:t>
      </w:r>
    </w:p>
    <w:p w14:paraId="74F168C5" w14:textId="6E8E9E69" w:rsidR="001C4F32" w:rsidRPr="003827BF" w:rsidRDefault="00F05174" w:rsidP="00A42E11">
      <w:pPr>
        <w:rPr>
          <w:i/>
          <w:szCs w:val="24"/>
        </w:rPr>
      </w:pPr>
      <w:r>
        <w:rPr>
          <w:i/>
          <w:szCs w:val="24"/>
        </w:rPr>
        <w:t xml:space="preserve">Study 1 – Mediation </w:t>
      </w:r>
      <w:r w:rsidR="001C4F32" w:rsidRPr="003827BF">
        <w:rPr>
          <w:i/>
          <w:szCs w:val="24"/>
        </w:rPr>
        <w:t>Analyses using Hayes’ (2013) PROCESS Macro (Model 4)</w:t>
      </w:r>
    </w:p>
    <w:p w14:paraId="52788775" w14:textId="7AC83F1D" w:rsidR="001C4F32" w:rsidRDefault="001C4F32">
      <w:pPr>
        <w:rPr>
          <w:szCs w:val="24"/>
        </w:rPr>
      </w:pPr>
    </w:p>
    <w:tbl>
      <w:tblPr>
        <w:tblW w:w="5286" w:type="dxa"/>
        <w:tblLook w:val="04A0" w:firstRow="1" w:lastRow="0" w:firstColumn="1" w:lastColumn="0" w:noHBand="0" w:noVBand="1"/>
      </w:tblPr>
      <w:tblGrid>
        <w:gridCol w:w="2430"/>
        <w:gridCol w:w="1176"/>
        <w:gridCol w:w="1680"/>
      </w:tblGrid>
      <w:tr w:rsidR="00E35540" w:rsidRPr="00E35540" w14:paraId="48A7FF8A" w14:textId="77777777" w:rsidTr="00F05174">
        <w:trPr>
          <w:trHeight w:val="315"/>
        </w:trPr>
        <w:tc>
          <w:tcPr>
            <w:tcW w:w="2430" w:type="dxa"/>
            <w:tcBorders>
              <w:top w:val="single" w:sz="4" w:space="0" w:color="auto"/>
              <w:left w:val="nil"/>
              <w:bottom w:val="nil"/>
              <w:right w:val="nil"/>
            </w:tcBorders>
            <w:shd w:val="clear" w:color="auto" w:fill="auto"/>
            <w:noWrap/>
            <w:vAlign w:val="bottom"/>
            <w:hideMark/>
          </w:tcPr>
          <w:p w14:paraId="2513FC30" w14:textId="77777777" w:rsidR="00E35540" w:rsidRPr="00E35540" w:rsidRDefault="00E35540" w:rsidP="00E35540">
            <w:pPr>
              <w:rPr>
                <w:rFonts w:eastAsia="Times New Roman"/>
                <w:color w:val="000000"/>
                <w:szCs w:val="24"/>
              </w:rPr>
            </w:pPr>
            <w:r w:rsidRPr="00E35540">
              <w:rPr>
                <w:rFonts w:eastAsia="Times New Roman"/>
                <w:color w:val="000000"/>
                <w:szCs w:val="24"/>
              </w:rPr>
              <w:t> </w:t>
            </w:r>
          </w:p>
        </w:tc>
        <w:tc>
          <w:tcPr>
            <w:tcW w:w="2856" w:type="dxa"/>
            <w:gridSpan w:val="2"/>
            <w:tcBorders>
              <w:top w:val="single" w:sz="4" w:space="0" w:color="auto"/>
              <w:left w:val="nil"/>
              <w:bottom w:val="single" w:sz="4" w:space="0" w:color="auto"/>
              <w:right w:val="nil"/>
            </w:tcBorders>
            <w:shd w:val="clear" w:color="auto" w:fill="auto"/>
            <w:noWrap/>
            <w:vAlign w:val="bottom"/>
            <w:hideMark/>
          </w:tcPr>
          <w:p w14:paraId="0ABE7C02" w14:textId="77777777" w:rsidR="00E35540" w:rsidRPr="00E35540" w:rsidRDefault="00E35540" w:rsidP="00E35540">
            <w:pPr>
              <w:jc w:val="center"/>
              <w:rPr>
                <w:rFonts w:eastAsia="Times New Roman"/>
                <w:color w:val="000000"/>
                <w:szCs w:val="24"/>
              </w:rPr>
            </w:pPr>
            <w:r w:rsidRPr="00E35540">
              <w:rPr>
                <w:rFonts w:eastAsia="Times New Roman"/>
                <w:color w:val="000000"/>
                <w:szCs w:val="24"/>
              </w:rPr>
              <w:t>Mediator model</w:t>
            </w:r>
          </w:p>
        </w:tc>
      </w:tr>
      <w:tr w:rsidR="00E35540" w:rsidRPr="00E35540" w14:paraId="5C792659" w14:textId="77777777" w:rsidTr="00F05174">
        <w:trPr>
          <w:trHeight w:val="315"/>
        </w:trPr>
        <w:tc>
          <w:tcPr>
            <w:tcW w:w="2430" w:type="dxa"/>
            <w:tcBorders>
              <w:top w:val="nil"/>
              <w:left w:val="nil"/>
              <w:bottom w:val="nil"/>
              <w:right w:val="nil"/>
            </w:tcBorders>
            <w:shd w:val="clear" w:color="auto" w:fill="auto"/>
            <w:noWrap/>
            <w:vAlign w:val="bottom"/>
            <w:hideMark/>
          </w:tcPr>
          <w:p w14:paraId="70032E6A" w14:textId="77777777" w:rsidR="00E35540" w:rsidRPr="00E35540" w:rsidRDefault="00E35540" w:rsidP="00E35540">
            <w:pPr>
              <w:jc w:val="center"/>
              <w:rPr>
                <w:rFonts w:eastAsia="Times New Roman"/>
                <w:color w:val="000000"/>
                <w:szCs w:val="24"/>
              </w:rPr>
            </w:pPr>
          </w:p>
        </w:tc>
        <w:tc>
          <w:tcPr>
            <w:tcW w:w="2856" w:type="dxa"/>
            <w:gridSpan w:val="2"/>
            <w:tcBorders>
              <w:top w:val="single" w:sz="4" w:space="0" w:color="auto"/>
              <w:left w:val="nil"/>
              <w:bottom w:val="single" w:sz="4" w:space="0" w:color="auto"/>
              <w:right w:val="nil"/>
            </w:tcBorders>
            <w:shd w:val="clear" w:color="auto" w:fill="auto"/>
            <w:noWrap/>
            <w:vAlign w:val="bottom"/>
            <w:hideMark/>
          </w:tcPr>
          <w:p w14:paraId="45189E2E" w14:textId="77777777" w:rsidR="00E35540" w:rsidRPr="00E35540" w:rsidRDefault="00E35540" w:rsidP="00E35540">
            <w:pPr>
              <w:jc w:val="center"/>
              <w:rPr>
                <w:rFonts w:eastAsia="Times New Roman"/>
                <w:color w:val="000000"/>
                <w:szCs w:val="24"/>
              </w:rPr>
            </w:pPr>
            <w:r w:rsidRPr="00E35540">
              <w:rPr>
                <w:rFonts w:eastAsia="Times New Roman"/>
                <w:color w:val="000000"/>
                <w:szCs w:val="24"/>
              </w:rPr>
              <w:t>LMX</w:t>
            </w:r>
          </w:p>
        </w:tc>
      </w:tr>
      <w:tr w:rsidR="00E35540" w:rsidRPr="00E35540" w14:paraId="0C2411AC" w14:textId="77777777" w:rsidTr="00F05174">
        <w:trPr>
          <w:trHeight w:val="315"/>
        </w:trPr>
        <w:tc>
          <w:tcPr>
            <w:tcW w:w="2430" w:type="dxa"/>
            <w:tcBorders>
              <w:top w:val="nil"/>
              <w:left w:val="nil"/>
              <w:bottom w:val="single" w:sz="4" w:space="0" w:color="auto"/>
              <w:right w:val="nil"/>
            </w:tcBorders>
            <w:shd w:val="clear" w:color="auto" w:fill="auto"/>
            <w:noWrap/>
            <w:vAlign w:val="bottom"/>
            <w:hideMark/>
          </w:tcPr>
          <w:p w14:paraId="2EC103CB" w14:textId="77777777" w:rsidR="00E35540" w:rsidRPr="00E35540" w:rsidRDefault="00E35540" w:rsidP="00E35540">
            <w:pPr>
              <w:rPr>
                <w:rFonts w:eastAsia="Times New Roman"/>
                <w:color w:val="000000"/>
                <w:szCs w:val="24"/>
              </w:rPr>
            </w:pPr>
            <w:r w:rsidRPr="00E35540">
              <w:rPr>
                <w:rFonts w:eastAsia="Times New Roman"/>
                <w:color w:val="000000"/>
                <w:szCs w:val="24"/>
              </w:rPr>
              <w:t> </w:t>
            </w:r>
          </w:p>
        </w:tc>
        <w:tc>
          <w:tcPr>
            <w:tcW w:w="1176" w:type="dxa"/>
            <w:tcBorders>
              <w:top w:val="nil"/>
              <w:left w:val="nil"/>
              <w:bottom w:val="single" w:sz="4" w:space="0" w:color="auto"/>
              <w:right w:val="nil"/>
            </w:tcBorders>
            <w:shd w:val="clear" w:color="auto" w:fill="auto"/>
            <w:noWrap/>
            <w:vAlign w:val="bottom"/>
            <w:hideMark/>
          </w:tcPr>
          <w:p w14:paraId="3DBB45F5" w14:textId="77777777" w:rsidR="00E35540" w:rsidRPr="00E35540" w:rsidRDefault="00E35540" w:rsidP="00E35540">
            <w:pPr>
              <w:jc w:val="center"/>
              <w:rPr>
                <w:rFonts w:eastAsia="Times New Roman"/>
                <w:i/>
                <w:iCs/>
                <w:color w:val="000000"/>
                <w:szCs w:val="24"/>
              </w:rPr>
            </w:pPr>
            <w:r w:rsidRPr="00E35540">
              <w:rPr>
                <w:rFonts w:eastAsia="Times New Roman"/>
                <w:i/>
                <w:iCs/>
                <w:color w:val="000000"/>
                <w:szCs w:val="24"/>
              </w:rPr>
              <w:t>b</w:t>
            </w:r>
          </w:p>
        </w:tc>
        <w:tc>
          <w:tcPr>
            <w:tcW w:w="1680" w:type="dxa"/>
            <w:tcBorders>
              <w:top w:val="nil"/>
              <w:left w:val="nil"/>
              <w:bottom w:val="single" w:sz="4" w:space="0" w:color="auto"/>
              <w:right w:val="nil"/>
            </w:tcBorders>
            <w:shd w:val="clear" w:color="auto" w:fill="auto"/>
            <w:noWrap/>
            <w:vAlign w:val="bottom"/>
            <w:hideMark/>
          </w:tcPr>
          <w:p w14:paraId="54779F38" w14:textId="77777777" w:rsidR="00E35540" w:rsidRPr="00E35540" w:rsidRDefault="00E35540" w:rsidP="00E35540">
            <w:pPr>
              <w:jc w:val="center"/>
              <w:rPr>
                <w:rFonts w:eastAsia="Times New Roman"/>
                <w:i/>
                <w:iCs/>
                <w:color w:val="000000"/>
                <w:szCs w:val="24"/>
              </w:rPr>
            </w:pPr>
            <w:r w:rsidRPr="00E35540">
              <w:rPr>
                <w:rFonts w:eastAsia="Times New Roman"/>
                <w:i/>
                <w:iCs/>
                <w:color w:val="000000"/>
                <w:szCs w:val="24"/>
              </w:rPr>
              <w:t>SE</w:t>
            </w:r>
          </w:p>
        </w:tc>
      </w:tr>
      <w:tr w:rsidR="00E35540" w:rsidRPr="00E35540" w14:paraId="5DCC443F" w14:textId="77777777" w:rsidTr="00966D34">
        <w:trPr>
          <w:trHeight w:val="315"/>
        </w:trPr>
        <w:tc>
          <w:tcPr>
            <w:tcW w:w="2430" w:type="dxa"/>
            <w:tcBorders>
              <w:top w:val="nil"/>
              <w:left w:val="nil"/>
              <w:right w:val="nil"/>
            </w:tcBorders>
            <w:shd w:val="clear" w:color="auto" w:fill="auto"/>
            <w:noWrap/>
            <w:vAlign w:val="bottom"/>
            <w:hideMark/>
          </w:tcPr>
          <w:p w14:paraId="5EC69D4B" w14:textId="77777777" w:rsidR="00E35540" w:rsidRPr="00E35540" w:rsidRDefault="00E35540" w:rsidP="00E35540">
            <w:pPr>
              <w:rPr>
                <w:rFonts w:eastAsia="Times New Roman"/>
                <w:color w:val="000000"/>
                <w:szCs w:val="24"/>
              </w:rPr>
            </w:pPr>
            <w:r w:rsidRPr="00E35540">
              <w:rPr>
                <w:rFonts w:eastAsia="Times New Roman"/>
                <w:color w:val="000000"/>
                <w:szCs w:val="24"/>
              </w:rPr>
              <w:t>Constant</w:t>
            </w:r>
          </w:p>
        </w:tc>
        <w:tc>
          <w:tcPr>
            <w:tcW w:w="1176" w:type="dxa"/>
            <w:tcBorders>
              <w:top w:val="nil"/>
              <w:left w:val="nil"/>
              <w:right w:val="nil"/>
            </w:tcBorders>
            <w:shd w:val="clear" w:color="auto" w:fill="auto"/>
            <w:noWrap/>
            <w:vAlign w:val="bottom"/>
            <w:hideMark/>
          </w:tcPr>
          <w:p w14:paraId="048D2DBA" w14:textId="16D0A42E" w:rsidR="00E35540" w:rsidRPr="00E35540" w:rsidRDefault="00E35540" w:rsidP="00A66216">
            <w:pPr>
              <w:tabs>
                <w:tab w:val="decimal" w:pos="420"/>
              </w:tabs>
              <w:rPr>
                <w:rFonts w:eastAsia="Times New Roman"/>
                <w:color w:val="000000"/>
                <w:szCs w:val="24"/>
              </w:rPr>
            </w:pPr>
            <w:r w:rsidRPr="00E35540">
              <w:rPr>
                <w:rFonts w:eastAsia="Times New Roman"/>
                <w:color w:val="000000"/>
                <w:szCs w:val="24"/>
              </w:rPr>
              <w:t>6.</w:t>
            </w:r>
            <w:r w:rsidR="00966D34">
              <w:rPr>
                <w:rFonts w:eastAsia="Times New Roman"/>
                <w:color w:val="000000"/>
                <w:szCs w:val="24"/>
              </w:rPr>
              <w:t>56</w:t>
            </w:r>
            <w:r w:rsidRPr="00E35540">
              <w:rPr>
                <w:rFonts w:eastAsia="Times New Roman"/>
                <w:color w:val="000000"/>
                <w:szCs w:val="24"/>
                <w:vertAlign w:val="superscript"/>
              </w:rPr>
              <w:t>***</w:t>
            </w:r>
          </w:p>
        </w:tc>
        <w:tc>
          <w:tcPr>
            <w:tcW w:w="1680" w:type="dxa"/>
            <w:tcBorders>
              <w:top w:val="nil"/>
              <w:left w:val="nil"/>
              <w:right w:val="nil"/>
            </w:tcBorders>
            <w:shd w:val="clear" w:color="auto" w:fill="auto"/>
            <w:noWrap/>
            <w:vAlign w:val="bottom"/>
            <w:hideMark/>
          </w:tcPr>
          <w:p w14:paraId="371FE621" w14:textId="07A808CF" w:rsidR="00E35540" w:rsidRPr="00E35540" w:rsidRDefault="00E35540" w:rsidP="00E35540">
            <w:pPr>
              <w:jc w:val="center"/>
              <w:rPr>
                <w:rFonts w:eastAsia="Times New Roman"/>
                <w:color w:val="000000"/>
                <w:szCs w:val="24"/>
              </w:rPr>
            </w:pPr>
            <w:r w:rsidRPr="00E35540">
              <w:rPr>
                <w:rFonts w:eastAsia="Times New Roman"/>
                <w:color w:val="000000"/>
                <w:szCs w:val="24"/>
              </w:rPr>
              <w:t>0.</w:t>
            </w:r>
            <w:r w:rsidR="00966D34">
              <w:rPr>
                <w:rFonts w:eastAsia="Times New Roman"/>
                <w:color w:val="000000"/>
                <w:szCs w:val="24"/>
              </w:rPr>
              <w:t>14</w:t>
            </w:r>
          </w:p>
        </w:tc>
      </w:tr>
      <w:tr w:rsidR="00E35540" w:rsidRPr="00E35540" w14:paraId="7BDBB4E3" w14:textId="77777777" w:rsidTr="00966D34">
        <w:trPr>
          <w:trHeight w:val="315"/>
        </w:trPr>
        <w:tc>
          <w:tcPr>
            <w:tcW w:w="2430" w:type="dxa"/>
            <w:tcBorders>
              <w:top w:val="nil"/>
              <w:left w:val="nil"/>
              <w:bottom w:val="single" w:sz="4" w:space="0" w:color="auto"/>
              <w:right w:val="nil"/>
            </w:tcBorders>
            <w:shd w:val="clear" w:color="auto" w:fill="auto"/>
            <w:noWrap/>
            <w:vAlign w:val="bottom"/>
            <w:hideMark/>
          </w:tcPr>
          <w:p w14:paraId="006310F0" w14:textId="77777777" w:rsidR="00E35540" w:rsidRPr="00E35540" w:rsidRDefault="00E35540" w:rsidP="00E35540">
            <w:pPr>
              <w:rPr>
                <w:rFonts w:eastAsia="Times New Roman"/>
                <w:color w:val="000000"/>
                <w:szCs w:val="24"/>
              </w:rPr>
            </w:pPr>
            <w:r w:rsidRPr="00E35540">
              <w:rPr>
                <w:rFonts w:eastAsia="Times New Roman"/>
                <w:color w:val="000000"/>
                <w:szCs w:val="24"/>
              </w:rPr>
              <w:t>Supervisor BLM</w:t>
            </w:r>
          </w:p>
        </w:tc>
        <w:tc>
          <w:tcPr>
            <w:tcW w:w="1176" w:type="dxa"/>
            <w:tcBorders>
              <w:top w:val="nil"/>
              <w:left w:val="nil"/>
              <w:bottom w:val="single" w:sz="4" w:space="0" w:color="auto"/>
              <w:right w:val="nil"/>
            </w:tcBorders>
            <w:shd w:val="clear" w:color="auto" w:fill="auto"/>
            <w:noWrap/>
            <w:vAlign w:val="bottom"/>
            <w:hideMark/>
          </w:tcPr>
          <w:p w14:paraId="738D77D0" w14:textId="29CF11CA" w:rsidR="00E35540" w:rsidRPr="00E35540" w:rsidRDefault="00E35540" w:rsidP="00A66216">
            <w:pPr>
              <w:tabs>
                <w:tab w:val="decimal" w:pos="420"/>
              </w:tabs>
              <w:rPr>
                <w:rFonts w:eastAsia="Times New Roman"/>
                <w:color w:val="000000"/>
                <w:szCs w:val="24"/>
              </w:rPr>
            </w:pPr>
            <w:r w:rsidRPr="00E35540">
              <w:rPr>
                <w:rFonts w:eastAsia="Times New Roman"/>
                <w:color w:val="000000"/>
                <w:szCs w:val="24"/>
              </w:rPr>
              <w:t>-0.2</w:t>
            </w:r>
            <w:r w:rsidR="00966D34">
              <w:rPr>
                <w:rFonts w:eastAsia="Times New Roman"/>
                <w:color w:val="000000"/>
                <w:szCs w:val="24"/>
              </w:rPr>
              <w:t>3</w:t>
            </w:r>
            <w:r w:rsidRPr="00E35540">
              <w:rPr>
                <w:rFonts w:eastAsia="Times New Roman"/>
                <w:color w:val="000000"/>
                <w:szCs w:val="24"/>
                <w:vertAlign w:val="superscript"/>
              </w:rPr>
              <w:t>***</w:t>
            </w:r>
          </w:p>
        </w:tc>
        <w:tc>
          <w:tcPr>
            <w:tcW w:w="1680" w:type="dxa"/>
            <w:tcBorders>
              <w:top w:val="nil"/>
              <w:left w:val="nil"/>
              <w:bottom w:val="single" w:sz="4" w:space="0" w:color="auto"/>
              <w:right w:val="nil"/>
            </w:tcBorders>
            <w:shd w:val="clear" w:color="auto" w:fill="auto"/>
            <w:noWrap/>
            <w:vAlign w:val="bottom"/>
            <w:hideMark/>
          </w:tcPr>
          <w:p w14:paraId="153A6259" w14:textId="77777777" w:rsidR="00E35540" w:rsidRPr="00E35540" w:rsidRDefault="00E35540" w:rsidP="00E35540">
            <w:pPr>
              <w:jc w:val="center"/>
              <w:rPr>
                <w:rFonts w:eastAsia="Times New Roman"/>
                <w:color w:val="000000"/>
                <w:szCs w:val="24"/>
              </w:rPr>
            </w:pPr>
            <w:r w:rsidRPr="00E35540">
              <w:rPr>
                <w:rFonts w:eastAsia="Times New Roman"/>
                <w:color w:val="000000"/>
                <w:szCs w:val="24"/>
              </w:rPr>
              <w:t>0.05</w:t>
            </w:r>
          </w:p>
        </w:tc>
      </w:tr>
      <w:tr w:rsidR="00E35540" w:rsidRPr="00E35540" w14:paraId="010B549F" w14:textId="77777777" w:rsidTr="00966D34">
        <w:trPr>
          <w:trHeight w:val="315"/>
        </w:trPr>
        <w:tc>
          <w:tcPr>
            <w:tcW w:w="2430" w:type="dxa"/>
            <w:tcBorders>
              <w:top w:val="single" w:sz="4" w:space="0" w:color="auto"/>
              <w:left w:val="nil"/>
              <w:bottom w:val="nil"/>
              <w:right w:val="nil"/>
            </w:tcBorders>
            <w:shd w:val="clear" w:color="auto" w:fill="auto"/>
            <w:noWrap/>
            <w:vAlign w:val="bottom"/>
            <w:hideMark/>
          </w:tcPr>
          <w:p w14:paraId="36B77063" w14:textId="77777777" w:rsidR="00E35540" w:rsidRPr="00E35540" w:rsidRDefault="00E35540" w:rsidP="00E35540">
            <w:pPr>
              <w:jc w:val="center"/>
              <w:rPr>
                <w:rFonts w:eastAsia="Times New Roman"/>
                <w:color w:val="000000"/>
                <w:szCs w:val="24"/>
              </w:rPr>
            </w:pPr>
          </w:p>
        </w:tc>
        <w:tc>
          <w:tcPr>
            <w:tcW w:w="2856" w:type="dxa"/>
            <w:gridSpan w:val="2"/>
            <w:tcBorders>
              <w:top w:val="single" w:sz="4" w:space="0" w:color="auto"/>
              <w:left w:val="nil"/>
              <w:bottom w:val="single" w:sz="4" w:space="0" w:color="auto"/>
              <w:right w:val="nil"/>
            </w:tcBorders>
            <w:shd w:val="clear" w:color="auto" w:fill="auto"/>
            <w:noWrap/>
            <w:vAlign w:val="bottom"/>
            <w:hideMark/>
          </w:tcPr>
          <w:p w14:paraId="365F4CA0" w14:textId="77777777" w:rsidR="00E35540" w:rsidRPr="00E35540" w:rsidRDefault="00E35540" w:rsidP="00E35540">
            <w:pPr>
              <w:jc w:val="center"/>
              <w:rPr>
                <w:rFonts w:eastAsia="Times New Roman"/>
                <w:color w:val="000000"/>
                <w:szCs w:val="24"/>
              </w:rPr>
            </w:pPr>
            <w:r w:rsidRPr="00E35540">
              <w:rPr>
                <w:rFonts w:eastAsia="Times New Roman"/>
                <w:color w:val="000000"/>
                <w:szCs w:val="24"/>
              </w:rPr>
              <w:t>Dependent variable model</w:t>
            </w:r>
          </w:p>
        </w:tc>
      </w:tr>
      <w:tr w:rsidR="00E35540" w:rsidRPr="00E35540" w14:paraId="73A614EA" w14:textId="77777777" w:rsidTr="00F05174">
        <w:trPr>
          <w:trHeight w:val="315"/>
        </w:trPr>
        <w:tc>
          <w:tcPr>
            <w:tcW w:w="2430" w:type="dxa"/>
            <w:tcBorders>
              <w:top w:val="nil"/>
              <w:left w:val="nil"/>
              <w:bottom w:val="nil"/>
              <w:right w:val="nil"/>
            </w:tcBorders>
            <w:shd w:val="clear" w:color="auto" w:fill="auto"/>
            <w:noWrap/>
            <w:vAlign w:val="bottom"/>
            <w:hideMark/>
          </w:tcPr>
          <w:p w14:paraId="2AB9F79C" w14:textId="77777777" w:rsidR="00E35540" w:rsidRPr="00E35540" w:rsidRDefault="00E35540" w:rsidP="00E35540">
            <w:pPr>
              <w:jc w:val="center"/>
              <w:rPr>
                <w:rFonts w:eastAsia="Times New Roman"/>
                <w:color w:val="000000"/>
                <w:szCs w:val="24"/>
              </w:rPr>
            </w:pPr>
          </w:p>
        </w:tc>
        <w:tc>
          <w:tcPr>
            <w:tcW w:w="2856" w:type="dxa"/>
            <w:gridSpan w:val="2"/>
            <w:tcBorders>
              <w:top w:val="nil"/>
              <w:left w:val="nil"/>
              <w:bottom w:val="single" w:sz="4" w:space="0" w:color="auto"/>
              <w:right w:val="nil"/>
            </w:tcBorders>
            <w:shd w:val="clear" w:color="auto" w:fill="auto"/>
            <w:noWrap/>
            <w:vAlign w:val="bottom"/>
            <w:hideMark/>
          </w:tcPr>
          <w:p w14:paraId="3B5CD6B8" w14:textId="77777777" w:rsidR="00E35540" w:rsidRPr="00E35540" w:rsidRDefault="00E35540" w:rsidP="00E35540">
            <w:pPr>
              <w:jc w:val="center"/>
              <w:rPr>
                <w:rFonts w:eastAsia="Times New Roman"/>
                <w:color w:val="000000"/>
                <w:szCs w:val="24"/>
              </w:rPr>
            </w:pPr>
            <w:r w:rsidRPr="00E35540">
              <w:rPr>
                <w:rFonts w:eastAsia="Times New Roman"/>
                <w:color w:val="000000"/>
                <w:szCs w:val="24"/>
              </w:rPr>
              <w:t>Task performance</w:t>
            </w:r>
          </w:p>
        </w:tc>
      </w:tr>
      <w:tr w:rsidR="00E35540" w:rsidRPr="00E35540" w14:paraId="143827E9" w14:textId="77777777" w:rsidTr="00F05174">
        <w:trPr>
          <w:trHeight w:val="315"/>
        </w:trPr>
        <w:tc>
          <w:tcPr>
            <w:tcW w:w="2430" w:type="dxa"/>
            <w:tcBorders>
              <w:top w:val="nil"/>
              <w:left w:val="nil"/>
              <w:bottom w:val="single" w:sz="4" w:space="0" w:color="auto"/>
              <w:right w:val="nil"/>
            </w:tcBorders>
            <w:shd w:val="clear" w:color="auto" w:fill="auto"/>
            <w:noWrap/>
            <w:vAlign w:val="bottom"/>
            <w:hideMark/>
          </w:tcPr>
          <w:p w14:paraId="457D42DA" w14:textId="77777777" w:rsidR="00E35540" w:rsidRPr="00E35540" w:rsidRDefault="00E35540" w:rsidP="00E35540">
            <w:pPr>
              <w:rPr>
                <w:rFonts w:eastAsia="Times New Roman"/>
                <w:color w:val="000000"/>
                <w:szCs w:val="24"/>
              </w:rPr>
            </w:pPr>
            <w:r w:rsidRPr="00E35540">
              <w:rPr>
                <w:rFonts w:eastAsia="Times New Roman"/>
                <w:color w:val="000000"/>
                <w:szCs w:val="24"/>
              </w:rPr>
              <w:t> </w:t>
            </w:r>
          </w:p>
        </w:tc>
        <w:tc>
          <w:tcPr>
            <w:tcW w:w="1176" w:type="dxa"/>
            <w:tcBorders>
              <w:top w:val="nil"/>
              <w:left w:val="nil"/>
              <w:bottom w:val="single" w:sz="4" w:space="0" w:color="auto"/>
              <w:right w:val="nil"/>
            </w:tcBorders>
            <w:shd w:val="clear" w:color="auto" w:fill="auto"/>
            <w:noWrap/>
            <w:vAlign w:val="bottom"/>
            <w:hideMark/>
          </w:tcPr>
          <w:p w14:paraId="717A8A1F" w14:textId="77777777" w:rsidR="00E35540" w:rsidRPr="00E35540" w:rsidRDefault="00E35540" w:rsidP="00E35540">
            <w:pPr>
              <w:jc w:val="center"/>
              <w:rPr>
                <w:rFonts w:eastAsia="Times New Roman"/>
                <w:i/>
                <w:iCs/>
                <w:color w:val="000000"/>
                <w:szCs w:val="24"/>
              </w:rPr>
            </w:pPr>
            <w:r w:rsidRPr="00E35540">
              <w:rPr>
                <w:rFonts w:eastAsia="Times New Roman"/>
                <w:i/>
                <w:iCs/>
                <w:color w:val="000000"/>
                <w:szCs w:val="24"/>
              </w:rPr>
              <w:t>b</w:t>
            </w:r>
          </w:p>
        </w:tc>
        <w:tc>
          <w:tcPr>
            <w:tcW w:w="1680" w:type="dxa"/>
            <w:tcBorders>
              <w:top w:val="nil"/>
              <w:left w:val="nil"/>
              <w:bottom w:val="single" w:sz="4" w:space="0" w:color="auto"/>
              <w:right w:val="nil"/>
            </w:tcBorders>
            <w:shd w:val="clear" w:color="auto" w:fill="auto"/>
            <w:noWrap/>
            <w:vAlign w:val="bottom"/>
            <w:hideMark/>
          </w:tcPr>
          <w:p w14:paraId="0511BACE" w14:textId="77777777" w:rsidR="00E35540" w:rsidRPr="00E35540" w:rsidRDefault="00E35540" w:rsidP="00E35540">
            <w:pPr>
              <w:jc w:val="center"/>
              <w:rPr>
                <w:rFonts w:eastAsia="Times New Roman"/>
                <w:i/>
                <w:iCs/>
                <w:color w:val="000000"/>
                <w:szCs w:val="24"/>
              </w:rPr>
            </w:pPr>
            <w:r w:rsidRPr="00E35540">
              <w:rPr>
                <w:rFonts w:eastAsia="Times New Roman"/>
                <w:i/>
                <w:iCs/>
                <w:color w:val="000000"/>
                <w:szCs w:val="24"/>
              </w:rPr>
              <w:t>SE</w:t>
            </w:r>
          </w:p>
        </w:tc>
      </w:tr>
      <w:tr w:rsidR="00E35540" w:rsidRPr="00E35540" w14:paraId="28EE85B9" w14:textId="77777777" w:rsidTr="00F05174">
        <w:trPr>
          <w:trHeight w:val="315"/>
        </w:trPr>
        <w:tc>
          <w:tcPr>
            <w:tcW w:w="2430" w:type="dxa"/>
            <w:tcBorders>
              <w:top w:val="nil"/>
              <w:left w:val="nil"/>
              <w:bottom w:val="nil"/>
              <w:right w:val="nil"/>
            </w:tcBorders>
            <w:shd w:val="clear" w:color="auto" w:fill="auto"/>
            <w:noWrap/>
            <w:vAlign w:val="bottom"/>
            <w:hideMark/>
          </w:tcPr>
          <w:p w14:paraId="495FDC87" w14:textId="77777777" w:rsidR="00E35540" w:rsidRPr="00E35540" w:rsidRDefault="00E35540" w:rsidP="00E35540">
            <w:pPr>
              <w:rPr>
                <w:rFonts w:eastAsia="Times New Roman"/>
                <w:color w:val="000000"/>
                <w:szCs w:val="24"/>
              </w:rPr>
            </w:pPr>
            <w:r w:rsidRPr="00E35540">
              <w:rPr>
                <w:rFonts w:eastAsia="Times New Roman"/>
                <w:color w:val="000000"/>
                <w:szCs w:val="24"/>
              </w:rPr>
              <w:t>Constant</w:t>
            </w:r>
          </w:p>
        </w:tc>
        <w:tc>
          <w:tcPr>
            <w:tcW w:w="1176" w:type="dxa"/>
            <w:tcBorders>
              <w:top w:val="nil"/>
              <w:left w:val="nil"/>
              <w:bottom w:val="nil"/>
              <w:right w:val="nil"/>
            </w:tcBorders>
            <w:shd w:val="clear" w:color="auto" w:fill="auto"/>
            <w:noWrap/>
            <w:vAlign w:val="bottom"/>
            <w:hideMark/>
          </w:tcPr>
          <w:p w14:paraId="7D9BFA6F" w14:textId="56377A1D" w:rsidR="00E35540" w:rsidRPr="00E35540" w:rsidRDefault="00E35540" w:rsidP="00A66216">
            <w:pPr>
              <w:tabs>
                <w:tab w:val="decimal" w:pos="420"/>
              </w:tabs>
              <w:rPr>
                <w:rFonts w:eastAsia="Times New Roman"/>
                <w:color w:val="000000"/>
                <w:szCs w:val="24"/>
              </w:rPr>
            </w:pPr>
            <w:r w:rsidRPr="00E35540">
              <w:rPr>
                <w:rFonts w:eastAsia="Times New Roman"/>
                <w:color w:val="000000"/>
                <w:szCs w:val="24"/>
              </w:rPr>
              <w:t>5.</w:t>
            </w:r>
            <w:r w:rsidR="00966D34">
              <w:rPr>
                <w:rFonts w:eastAsia="Times New Roman"/>
                <w:color w:val="000000"/>
                <w:szCs w:val="24"/>
              </w:rPr>
              <w:t>5</w:t>
            </w:r>
            <w:r w:rsidRPr="00E35540">
              <w:rPr>
                <w:rFonts w:eastAsia="Times New Roman"/>
                <w:color w:val="000000"/>
                <w:szCs w:val="24"/>
              </w:rPr>
              <w:t>8</w:t>
            </w:r>
            <w:r w:rsidRPr="00E35540">
              <w:rPr>
                <w:rFonts w:eastAsia="Times New Roman"/>
                <w:color w:val="000000"/>
                <w:szCs w:val="24"/>
                <w:vertAlign w:val="superscript"/>
              </w:rPr>
              <w:t>***</w:t>
            </w:r>
          </w:p>
        </w:tc>
        <w:tc>
          <w:tcPr>
            <w:tcW w:w="1680" w:type="dxa"/>
            <w:tcBorders>
              <w:top w:val="nil"/>
              <w:left w:val="nil"/>
              <w:bottom w:val="nil"/>
              <w:right w:val="nil"/>
            </w:tcBorders>
            <w:shd w:val="clear" w:color="auto" w:fill="auto"/>
            <w:noWrap/>
            <w:vAlign w:val="bottom"/>
            <w:hideMark/>
          </w:tcPr>
          <w:p w14:paraId="63E37AE5" w14:textId="1BCAAD16" w:rsidR="00E35540" w:rsidRPr="00E35540" w:rsidRDefault="00E35540" w:rsidP="00E35540">
            <w:pPr>
              <w:jc w:val="center"/>
              <w:rPr>
                <w:rFonts w:eastAsia="Times New Roman"/>
                <w:color w:val="000000"/>
                <w:szCs w:val="24"/>
              </w:rPr>
            </w:pPr>
            <w:r w:rsidRPr="00E35540">
              <w:rPr>
                <w:rFonts w:eastAsia="Times New Roman"/>
                <w:color w:val="000000"/>
                <w:szCs w:val="24"/>
              </w:rPr>
              <w:t>0.</w:t>
            </w:r>
            <w:r w:rsidR="00966D34">
              <w:rPr>
                <w:rFonts w:eastAsia="Times New Roman"/>
                <w:color w:val="000000"/>
                <w:szCs w:val="24"/>
              </w:rPr>
              <w:t>39</w:t>
            </w:r>
          </w:p>
        </w:tc>
      </w:tr>
      <w:tr w:rsidR="00E35540" w:rsidRPr="00E35540" w14:paraId="65383108" w14:textId="77777777" w:rsidTr="00966D34">
        <w:trPr>
          <w:trHeight w:val="315"/>
        </w:trPr>
        <w:tc>
          <w:tcPr>
            <w:tcW w:w="2430" w:type="dxa"/>
            <w:tcBorders>
              <w:top w:val="nil"/>
              <w:left w:val="nil"/>
              <w:right w:val="nil"/>
            </w:tcBorders>
            <w:shd w:val="clear" w:color="auto" w:fill="auto"/>
            <w:noWrap/>
            <w:vAlign w:val="bottom"/>
            <w:hideMark/>
          </w:tcPr>
          <w:p w14:paraId="618CDE93" w14:textId="77777777" w:rsidR="00E35540" w:rsidRPr="00E35540" w:rsidRDefault="00E35540" w:rsidP="00E35540">
            <w:pPr>
              <w:rPr>
                <w:rFonts w:eastAsia="Times New Roman"/>
                <w:color w:val="000000"/>
                <w:szCs w:val="24"/>
              </w:rPr>
            </w:pPr>
            <w:r w:rsidRPr="00E35540">
              <w:rPr>
                <w:rFonts w:eastAsia="Times New Roman"/>
                <w:color w:val="000000"/>
                <w:szCs w:val="24"/>
              </w:rPr>
              <w:t>Supervisor BLM</w:t>
            </w:r>
          </w:p>
        </w:tc>
        <w:tc>
          <w:tcPr>
            <w:tcW w:w="1176" w:type="dxa"/>
            <w:tcBorders>
              <w:top w:val="nil"/>
              <w:left w:val="nil"/>
              <w:right w:val="nil"/>
            </w:tcBorders>
            <w:shd w:val="clear" w:color="auto" w:fill="auto"/>
            <w:noWrap/>
            <w:vAlign w:val="bottom"/>
            <w:hideMark/>
          </w:tcPr>
          <w:p w14:paraId="74439B78" w14:textId="2D60E647" w:rsidR="00E35540" w:rsidRPr="00E35540" w:rsidRDefault="00E35540" w:rsidP="00A66216">
            <w:pPr>
              <w:tabs>
                <w:tab w:val="decimal" w:pos="420"/>
              </w:tabs>
              <w:rPr>
                <w:rFonts w:eastAsia="Times New Roman"/>
                <w:color w:val="000000"/>
                <w:szCs w:val="24"/>
              </w:rPr>
            </w:pPr>
            <w:r w:rsidRPr="00E35540">
              <w:rPr>
                <w:rFonts w:eastAsia="Times New Roman"/>
                <w:color w:val="000000"/>
                <w:szCs w:val="24"/>
              </w:rPr>
              <w:t>-0.0</w:t>
            </w:r>
            <w:r w:rsidR="00966D34">
              <w:rPr>
                <w:rFonts w:eastAsia="Times New Roman"/>
                <w:color w:val="000000"/>
                <w:szCs w:val="24"/>
              </w:rPr>
              <w:t>4</w:t>
            </w:r>
          </w:p>
        </w:tc>
        <w:tc>
          <w:tcPr>
            <w:tcW w:w="1680" w:type="dxa"/>
            <w:tcBorders>
              <w:top w:val="nil"/>
              <w:left w:val="nil"/>
              <w:right w:val="nil"/>
            </w:tcBorders>
            <w:shd w:val="clear" w:color="auto" w:fill="auto"/>
            <w:noWrap/>
            <w:vAlign w:val="bottom"/>
            <w:hideMark/>
          </w:tcPr>
          <w:p w14:paraId="60B04447" w14:textId="2C86F45B" w:rsidR="00E35540" w:rsidRPr="00E35540" w:rsidRDefault="00E35540" w:rsidP="00E35540">
            <w:pPr>
              <w:jc w:val="center"/>
              <w:rPr>
                <w:rFonts w:eastAsia="Times New Roman"/>
                <w:color w:val="000000"/>
                <w:szCs w:val="24"/>
              </w:rPr>
            </w:pPr>
            <w:r w:rsidRPr="00E35540">
              <w:rPr>
                <w:rFonts w:eastAsia="Times New Roman"/>
                <w:color w:val="000000"/>
                <w:szCs w:val="24"/>
              </w:rPr>
              <w:t>0.</w:t>
            </w:r>
            <w:r w:rsidR="00F05174">
              <w:rPr>
                <w:rFonts w:eastAsia="Times New Roman"/>
                <w:color w:val="000000"/>
                <w:szCs w:val="24"/>
              </w:rPr>
              <w:t>04</w:t>
            </w:r>
          </w:p>
        </w:tc>
      </w:tr>
      <w:tr w:rsidR="00E35540" w:rsidRPr="00E35540" w14:paraId="5F664701" w14:textId="77777777" w:rsidTr="00966D34">
        <w:trPr>
          <w:trHeight w:val="315"/>
        </w:trPr>
        <w:tc>
          <w:tcPr>
            <w:tcW w:w="2430" w:type="dxa"/>
            <w:tcBorders>
              <w:top w:val="nil"/>
              <w:left w:val="nil"/>
              <w:bottom w:val="single" w:sz="4" w:space="0" w:color="auto"/>
              <w:right w:val="nil"/>
            </w:tcBorders>
            <w:shd w:val="clear" w:color="auto" w:fill="auto"/>
            <w:noWrap/>
            <w:vAlign w:val="bottom"/>
            <w:hideMark/>
          </w:tcPr>
          <w:p w14:paraId="37BDE68F" w14:textId="77777777" w:rsidR="00E35540" w:rsidRPr="00E35540" w:rsidRDefault="00E35540" w:rsidP="00E35540">
            <w:pPr>
              <w:rPr>
                <w:rFonts w:eastAsia="Times New Roman"/>
                <w:color w:val="000000"/>
                <w:szCs w:val="24"/>
              </w:rPr>
            </w:pPr>
            <w:r w:rsidRPr="00E35540">
              <w:rPr>
                <w:rFonts w:eastAsia="Times New Roman"/>
                <w:color w:val="000000"/>
                <w:szCs w:val="24"/>
              </w:rPr>
              <w:t>LMX</w:t>
            </w:r>
          </w:p>
        </w:tc>
        <w:tc>
          <w:tcPr>
            <w:tcW w:w="1176" w:type="dxa"/>
            <w:tcBorders>
              <w:top w:val="nil"/>
              <w:left w:val="nil"/>
              <w:bottom w:val="single" w:sz="4" w:space="0" w:color="auto"/>
              <w:right w:val="nil"/>
            </w:tcBorders>
            <w:shd w:val="clear" w:color="auto" w:fill="auto"/>
            <w:noWrap/>
            <w:vAlign w:val="bottom"/>
            <w:hideMark/>
          </w:tcPr>
          <w:p w14:paraId="0B42CFF3" w14:textId="315DD736" w:rsidR="00E35540" w:rsidRPr="00E35540" w:rsidRDefault="00E35540" w:rsidP="00A66216">
            <w:pPr>
              <w:tabs>
                <w:tab w:val="decimal" w:pos="420"/>
              </w:tabs>
              <w:rPr>
                <w:rFonts w:eastAsia="Times New Roman"/>
                <w:color w:val="000000"/>
                <w:szCs w:val="24"/>
              </w:rPr>
            </w:pPr>
            <w:r w:rsidRPr="00E35540">
              <w:rPr>
                <w:rFonts w:eastAsia="Times New Roman"/>
                <w:color w:val="000000"/>
                <w:szCs w:val="24"/>
              </w:rPr>
              <w:t>0.1</w:t>
            </w:r>
            <w:r w:rsidR="00966D34">
              <w:rPr>
                <w:rFonts w:eastAsia="Times New Roman"/>
                <w:color w:val="000000"/>
                <w:szCs w:val="24"/>
              </w:rPr>
              <w:t>6</w:t>
            </w:r>
            <w:r w:rsidRPr="00E35540">
              <w:rPr>
                <w:rFonts w:eastAsia="Times New Roman"/>
                <w:color w:val="000000"/>
                <w:szCs w:val="24"/>
                <w:vertAlign w:val="superscript"/>
              </w:rPr>
              <w:t>*</w:t>
            </w:r>
          </w:p>
        </w:tc>
        <w:tc>
          <w:tcPr>
            <w:tcW w:w="1680" w:type="dxa"/>
            <w:tcBorders>
              <w:top w:val="nil"/>
              <w:left w:val="nil"/>
              <w:bottom w:val="single" w:sz="4" w:space="0" w:color="auto"/>
              <w:right w:val="nil"/>
            </w:tcBorders>
            <w:shd w:val="clear" w:color="auto" w:fill="auto"/>
            <w:noWrap/>
            <w:vAlign w:val="bottom"/>
            <w:hideMark/>
          </w:tcPr>
          <w:p w14:paraId="1D304225" w14:textId="77777777" w:rsidR="00E35540" w:rsidRPr="00E35540" w:rsidRDefault="00E35540" w:rsidP="00E35540">
            <w:pPr>
              <w:jc w:val="center"/>
              <w:rPr>
                <w:rFonts w:eastAsia="Times New Roman"/>
                <w:color w:val="000000"/>
                <w:szCs w:val="24"/>
              </w:rPr>
            </w:pPr>
            <w:r w:rsidRPr="00E35540">
              <w:rPr>
                <w:rFonts w:eastAsia="Times New Roman"/>
                <w:color w:val="000000"/>
                <w:szCs w:val="24"/>
              </w:rPr>
              <w:t>0.06</w:t>
            </w:r>
          </w:p>
        </w:tc>
      </w:tr>
      <w:tr w:rsidR="00E35540" w:rsidRPr="00E35540" w14:paraId="1CB05CCC" w14:textId="77777777" w:rsidTr="00966D34">
        <w:trPr>
          <w:trHeight w:val="315"/>
        </w:trPr>
        <w:tc>
          <w:tcPr>
            <w:tcW w:w="2430" w:type="dxa"/>
            <w:tcBorders>
              <w:top w:val="single" w:sz="4" w:space="0" w:color="auto"/>
              <w:left w:val="nil"/>
              <w:bottom w:val="single" w:sz="4" w:space="0" w:color="auto"/>
              <w:right w:val="nil"/>
            </w:tcBorders>
            <w:shd w:val="clear" w:color="auto" w:fill="auto"/>
            <w:noWrap/>
            <w:vAlign w:val="bottom"/>
            <w:hideMark/>
          </w:tcPr>
          <w:p w14:paraId="71BEC8BA" w14:textId="77777777" w:rsidR="00E35540" w:rsidRPr="00E35540" w:rsidRDefault="00E35540" w:rsidP="00E35540">
            <w:pPr>
              <w:rPr>
                <w:rFonts w:eastAsia="Times New Roman"/>
                <w:color w:val="000000"/>
                <w:szCs w:val="24"/>
              </w:rPr>
            </w:pPr>
            <w:r w:rsidRPr="00E35540">
              <w:rPr>
                <w:rFonts w:eastAsia="Times New Roman"/>
                <w:color w:val="000000"/>
                <w:szCs w:val="24"/>
              </w:rPr>
              <w:t> </w:t>
            </w:r>
          </w:p>
        </w:tc>
        <w:tc>
          <w:tcPr>
            <w:tcW w:w="1176" w:type="dxa"/>
            <w:tcBorders>
              <w:top w:val="single" w:sz="4" w:space="0" w:color="auto"/>
              <w:left w:val="nil"/>
              <w:bottom w:val="single" w:sz="4" w:space="0" w:color="auto"/>
              <w:right w:val="nil"/>
            </w:tcBorders>
            <w:shd w:val="clear" w:color="auto" w:fill="auto"/>
            <w:noWrap/>
            <w:vAlign w:val="bottom"/>
            <w:hideMark/>
          </w:tcPr>
          <w:p w14:paraId="3F277FD5" w14:textId="77777777" w:rsidR="00E35540" w:rsidRPr="00E35540" w:rsidRDefault="00E35540" w:rsidP="00E35540">
            <w:pPr>
              <w:jc w:val="center"/>
              <w:rPr>
                <w:rFonts w:eastAsia="Times New Roman"/>
                <w:color w:val="000000"/>
                <w:szCs w:val="24"/>
              </w:rPr>
            </w:pPr>
            <w:r w:rsidRPr="00E35540">
              <w:rPr>
                <w:rFonts w:eastAsia="Times New Roman"/>
                <w:color w:val="000000"/>
                <w:szCs w:val="24"/>
              </w:rPr>
              <w:t>Effect</w:t>
            </w:r>
          </w:p>
        </w:tc>
        <w:tc>
          <w:tcPr>
            <w:tcW w:w="1680" w:type="dxa"/>
            <w:tcBorders>
              <w:top w:val="single" w:sz="4" w:space="0" w:color="auto"/>
              <w:left w:val="nil"/>
              <w:bottom w:val="single" w:sz="4" w:space="0" w:color="auto"/>
              <w:right w:val="nil"/>
            </w:tcBorders>
            <w:shd w:val="clear" w:color="auto" w:fill="auto"/>
            <w:noWrap/>
            <w:vAlign w:val="bottom"/>
            <w:hideMark/>
          </w:tcPr>
          <w:p w14:paraId="695FD662" w14:textId="77777777" w:rsidR="00E35540" w:rsidRPr="00E35540" w:rsidRDefault="00E35540" w:rsidP="00E35540">
            <w:pPr>
              <w:jc w:val="center"/>
              <w:rPr>
                <w:rFonts w:eastAsia="Times New Roman"/>
                <w:color w:val="000000"/>
                <w:szCs w:val="24"/>
              </w:rPr>
            </w:pPr>
            <w:r w:rsidRPr="00E35540">
              <w:rPr>
                <w:rFonts w:eastAsia="Times New Roman"/>
                <w:color w:val="000000"/>
                <w:szCs w:val="24"/>
              </w:rPr>
              <w:t>CI</w:t>
            </w:r>
          </w:p>
        </w:tc>
      </w:tr>
      <w:tr w:rsidR="00E35540" w:rsidRPr="00E35540" w14:paraId="18ACDD1E" w14:textId="77777777" w:rsidTr="00F05174">
        <w:trPr>
          <w:trHeight w:val="315"/>
        </w:trPr>
        <w:tc>
          <w:tcPr>
            <w:tcW w:w="2430" w:type="dxa"/>
            <w:tcBorders>
              <w:top w:val="nil"/>
              <w:left w:val="nil"/>
              <w:bottom w:val="nil"/>
              <w:right w:val="nil"/>
            </w:tcBorders>
            <w:shd w:val="clear" w:color="auto" w:fill="auto"/>
            <w:noWrap/>
            <w:vAlign w:val="bottom"/>
            <w:hideMark/>
          </w:tcPr>
          <w:p w14:paraId="34E4C6DE" w14:textId="77777777" w:rsidR="00E35540" w:rsidRPr="00E35540" w:rsidRDefault="00E35540" w:rsidP="00E35540">
            <w:pPr>
              <w:rPr>
                <w:rFonts w:eastAsia="Times New Roman"/>
                <w:color w:val="000000"/>
                <w:szCs w:val="24"/>
              </w:rPr>
            </w:pPr>
            <w:r w:rsidRPr="00E35540">
              <w:rPr>
                <w:rFonts w:eastAsia="Times New Roman"/>
                <w:color w:val="000000"/>
                <w:szCs w:val="24"/>
              </w:rPr>
              <w:t>Direct effect</w:t>
            </w:r>
          </w:p>
        </w:tc>
        <w:tc>
          <w:tcPr>
            <w:tcW w:w="1176" w:type="dxa"/>
            <w:tcBorders>
              <w:top w:val="nil"/>
              <w:left w:val="nil"/>
              <w:bottom w:val="nil"/>
              <w:right w:val="nil"/>
            </w:tcBorders>
            <w:shd w:val="clear" w:color="auto" w:fill="auto"/>
            <w:noWrap/>
            <w:vAlign w:val="bottom"/>
            <w:hideMark/>
          </w:tcPr>
          <w:p w14:paraId="47ADF46F" w14:textId="7CEF23F4" w:rsidR="00E35540" w:rsidRPr="00E35540" w:rsidRDefault="00E35540" w:rsidP="00A66216">
            <w:pPr>
              <w:tabs>
                <w:tab w:val="decimal" w:pos="420"/>
              </w:tabs>
              <w:rPr>
                <w:rFonts w:eastAsia="Times New Roman"/>
                <w:color w:val="000000"/>
                <w:szCs w:val="24"/>
              </w:rPr>
            </w:pPr>
            <w:r w:rsidRPr="00E35540">
              <w:rPr>
                <w:rFonts w:eastAsia="Times New Roman"/>
                <w:color w:val="000000"/>
                <w:szCs w:val="24"/>
              </w:rPr>
              <w:t>-0.0</w:t>
            </w:r>
            <w:r w:rsidR="00966D34">
              <w:rPr>
                <w:rFonts w:eastAsia="Times New Roman"/>
                <w:color w:val="000000"/>
                <w:szCs w:val="24"/>
              </w:rPr>
              <w:t>4</w:t>
            </w:r>
          </w:p>
        </w:tc>
        <w:tc>
          <w:tcPr>
            <w:tcW w:w="1680" w:type="dxa"/>
            <w:tcBorders>
              <w:top w:val="nil"/>
              <w:left w:val="nil"/>
              <w:bottom w:val="nil"/>
              <w:right w:val="nil"/>
            </w:tcBorders>
            <w:shd w:val="clear" w:color="auto" w:fill="auto"/>
            <w:noWrap/>
            <w:vAlign w:val="bottom"/>
            <w:hideMark/>
          </w:tcPr>
          <w:p w14:paraId="77873298" w14:textId="1A376D97" w:rsidR="00E35540" w:rsidRPr="00E35540" w:rsidRDefault="00E35540" w:rsidP="00E35540">
            <w:pPr>
              <w:jc w:val="right"/>
              <w:rPr>
                <w:rFonts w:eastAsia="Times New Roman"/>
                <w:color w:val="000000"/>
                <w:szCs w:val="24"/>
              </w:rPr>
            </w:pPr>
            <w:r w:rsidRPr="00E35540">
              <w:rPr>
                <w:rFonts w:eastAsia="Times New Roman"/>
                <w:color w:val="000000"/>
                <w:szCs w:val="24"/>
              </w:rPr>
              <w:t>(-.1</w:t>
            </w:r>
            <w:r w:rsidR="00966D34">
              <w:rPr>
                <w:rFonts w:eastAsia="Times New Roman"/>
                <w:color w:val="000000"/>
                <w:szCs w:val="24"/>
              </w:rPr>
              <w:t>10</w:t>
            </w:r>
            <w:r w:rsidRPr="00E35540">
              <w:rPr>
                <w:rFonts w:eastAsia="Times New Roman"/>
                <w:color w:val="000000"/>
                <w:szCs w:val="24"/>
              </w:rPr>
              <w:t>, .0</w:t>
            </w:r>
            <w:r w:rsidR="00966D34">
              <w:rPr>
                <w:rFonts w:eastAsia="Times New Roman"/>
                <w:color w:val="000000"/>
                <w:szCs w:val="24"/>
              </w:rPr>
              <w:t>38</w:t>
            </w:r>
            <w:r w:rsidRPr="00E35540">
              <w:rPr>
                <w:rFonts w:eastAsia="Times New Roman"/>
                <w:color w:val="000000"/>
                <w:szCs w:val="24"/>
              </w:rPr>
              <w:t>)</w:t>
            </w:r>
          </w:p>
        </w:tc>
      </w:tr>
      <w:tr w:rsidR="00E35540" w:rsidRPr="00E35540" w14:paraId="59E3DEDF" w14:textId="77777777" w:rsidTr="00F05174">
        <w:trPr>
          <w:trHeight w:val="315"/>
        </w:trPr>
        <w:tc>
          <w:tcPr>
            <w:tcW w:w="2430" w:type="dxa"/>
            <w:tcBorders>
              <w:top w:val="nil"/>
              <w:left w:val="nil"/>
              <w:bottom w:val="single" w:sz="4" w:space="0" w:color="auto"/>
              <w:right w:val="nil"/>
            </w:tcBorders>
            <w:shd w:val="clear" w:color="auto" w:fill="auto"/>
            <w:noWrap/>
            <w:vAlign w:val="bottom"/>
            <w:hideMark/>
          </w:tcPr>
          <w:p w14:paraId="3AAB90F4" w14:textId="77777777" w:rsidR="00E35540" w:rsidRPr="00E35540" w:rsidRDefault="00E35540" w:rsidP="00E35540">
            <w:pPr>
              <w:rPr>
                <w:rFonts w:eastAsia="Times New Roman"/>
                <w:color w:val="000000"/>
                <w:szCs w:val="24"/>
              </w:rPr>
            </w:pPr>
            <w:r w:rsidRPr="00E35540">
              <w:rPr>
                <w:rFonts w:eastAsia="Times New Roman"/>
                <w:color w:val="000000"/>
                <w:szCs w:val="24"/>
              </w:rPr>
              <w:t>Indirect effect</w:t>
            </w:r>
          </w:p>
        </w:tc>
        <w:tc>
          <w:tcPr>
            <w:tcW w:w="1176" w:type="dxa"/>
            <w:tcBorders>
              <w:top w:val="nil"/>
              <w:left w:val="nil"/>
              <w:bottom w:val="single" w:sz="4" w:space="0" w:color="auto"/>
              <w:right w:val="nil"/>
            </w:tcBorders>
            <w:shd w:val="clear" w:color="auto" w:fill="auto"/>
            <w:noWrap/>
            <w:vAlign w:val="bottom"/>
            <w:hideMark/>
          </w:tcPr>
          <w:p w14:paraId="62E4BE4D" w14:textId="193EFA2F" w:rsidR="00E35540" w:rsidRPr="00E35540" w:rsidRDefault="00E35540" w:rsidP="00A66216">
            <w:pPr>
              <w:tabs>
                <w:tab w:val="decimal" w:pos="420"/>
              </w:tabs>
              <w:rPr>
                <w:rFonts w:eastAsia="Times New Roman"/>
                <w:color w:val="000000"/>
                <w:szCs w:val="24"/>
              </w:rPr>
            </w:pPr>
            <w:r w:rsidRPr="00E35540">
              <w:rPr>
                <w:rFonts w:eastAsia="Times New Roman"/>
                <w:color w:val="000000"/>
                <w:szCs w:val="24"/>
              </w:rPr>
              <w:t>-0.0</w:t>
            </w:r>
            <w:r w:rsidR="00966D34">
              <w:rPr>
                <w:rFonts w:eastAsia="Times New Roman"/>
                <w:color w:val="000000"/>
                <w:szCs w:val="24"/>
              </w:rPr>
              <w:t>4</w:t>
            </w:r>
          </w:p>
        </w:tc>
        <w:tc>
          <w:tcPr>
            <w:tcW w:w="1680" w:type="dxa"/>
            <w:tcBorders>
              <w:top w:val="nil"/>
              <w:left w:val="nil"/>
              <w:bottom w:val="single" w:sz="4" w:space="0" w:color="auto"/>
              <w:right w:val="nil"/>
            </w:tcBorders>
            <w:shd w:val="clear" w:color="auto" w:fill="auto"/>
            <w:noWrap/>
            <w:vAlign w:val="bottom"/>
            <w:hideMark/>
          </w:tcPr>
          <w:p w14:paraId="7C656BC2" w14:textId="2C853B05" w:rsidR="00E35540" w:rsidRPr="00E35540" w:rsidRDefault="00E35540" w:rsidP="00E35540">
            <w:pPr>
              <w:jc w:val="right"/>
              <w:rPr>
                <w:rFonts w:eastAsia="Times New Roman"/>
                <w:color w:val="000000"/>
                <w:szCs w:val="24"/>
              </w:rPr>
            </w:pPr>
            <w:r w:rsidRPr="00E35540">
              <w:rPr>
                <w:rFonts w:eastAsia="Times New Roman"/>
                <w:color w:val="000000"/>
                <w:szCs w:val="24"/>
              </w:rPr>
              <w:t>(-.08</w:t>
            </w:r>
            <w:r w:rsidR="00966D34">
              <w:rPr>
                <w:rFonts w:eastAsia="Times New Roman"/>
                <w:color w:val="000000"/>
                <w:szCs w:val="24"/>
              </w:rPr>
              <w:t>6</w:t>
            </w:r>
            <w:r w:rsidRPr="00E35540">
              <w:rPr>
                <w:rFonts w:eastAsia="Times New Roman"/>
                <w:color w:val="000000"/>
                <w:szCs w:val="24"/>
              </w:rPr>
              <w:t>, -.00</w:t>
            </w:r>
            <w:r w:rsidR="00966D34">
              <w:rPr>
                <w:rFonts w:eastAsia="Times New Roman"/>
                <w:color w:val="000000"/>
                <w:szCs w:val="24"/>
              </w:rPr>
              <w:t>9</w:t>
            </w:r>
            <w:r w:rsidRPr="00E35540">
              <w:rPr>
                <w:rFonts w:eastAsia="Times New Roman"/>
                <w:color w:val="000000"/>
                <w:szCs w:val="24"/>
              </w:rPr>
              <w:t>)</w:t>
            </w:r>
          </w:p>
        </w:tc>
      </w:tr>
    </w:tbl>
    <w:p w14:paraId="288925A9" w14:textId="5C1846E2" w:rsidR="000474F8" w:rsidRDefault="001C4F32" w:rsidP="001C4F32">
      <w:pPr>
        <w:rPr>
          <w:szCs w:val="24"/>
        </w:rPr>
      </w:pPr>
      <w:r w:rsidRPr="003A4D97">
        <w:rPr>
          <w:i/>
          <w:szCs w:val="24"/>
        </w:rPr>
        <w:t>Note</w:t>
      </w:r>
      <w:r>
        <w:rPr>
          <w:szCs w:val="24"/>
        </w:rPr>
        <w:t xml:space="preserve">. </w:t>
      </w:r>
      <w:r w:rsidRPr="003A4D97">
        <w:rPr>
          <w:i/>
          <w:szCs w:val="24"/>
        </w:rPr>
        <w:t>N</w:t>
      </w:r>
      <w:r>
        <w:rPr>
          <w:szCs w:val="24"/>
        </w:rPr>
        <w:t xml:space="preserve"> = </w:t>
      </w:r>
      <w:r w:rsidR="00B95384">
        <w:rPr>
          <w:szCs w:val="24"/>
        </w:rPr>
        <w:t>18</w:t>
      </w:r>
      <w:r w:rsidR="000D48D6">
        <w:rPr>
          <w:szCs w:val="24"/>
        </w:rPr>
        <w:t>9</w:t>
      </w:r>
      <w:r>
        <w:rPr>
          <w:szCs w:val="24"/>
        </w:rPr>
        <w:t xml:space="preserve">. Bootstrap sample size = 5,000. </w:t>
      </w:r>
    </w:p>
    <w:p w14:paraId="232D52D8" w14:textId="697181B3" w:rsidR="001C4F32" w:rsidRDefault="001C4F32" w:rsidP="000474F8">
      <w:pPr>
        <w:rPr>
          <w:szCs w:val="24"/>
        </w:rPr>
      </w:pPr>
      <w:r>
        <w:rPr>
          <w:szCs w:val="24"/>
        </w:rPr>
        <w:t>95% Confidence Interval</w:t>
      </w:r>
      <w:r w:rsidR="000474F8">
        <w:rPr>
          <w:szCs w:val="24"/>
        </w:rPr>
        <w:t xml:space="preserve"> (CI)</w:t>
      </w:r>
      <w:r>
        <w:rPr>
          <w:szCs w:val="24"/>
        </w:rPr>
        <w:t>.</w:t>
      </w:r>
    </w:p>
    <w:p w14:paraId="3E815A02" w14:textId="77777777" w:rsidR="00F05174" w:rsidRDefault="001C4F32" w:rsidP="001C4F32">
      <w:pPr>
        <w:rPr>
          <w:rFonts w:eastAsia="Times New Roman"/>
          <w:szCs w:val="24"/>
        </w:rPr>
      </w:pPr>
      <w:r w:rsidRPr="00530D76">
        <w:rPr>
          <w:rFonts w:eastAsia="Times New Roman"/>
          <w:szCs w:val="24"/>
        </w:rPr>
        <w:t>BLM</w:t>
      </w:r>
      <w:r>
        <w:rPr>
          <w:rFonts w:eastAsia="Times New Roman"/>
          <w:i/>
          <w:szCs w:val="24"/>
        </w:rPr>
        <w:t xml:space="preserve"> </w:t>
      </w:r>
      <w:r w:rsidRPr="00530D76">
        <w:rPr>
          <w:rFonts w:eastAsia="Times New Roman"/>
          <w:szCs w:val="24"/>
        </w:rPr>
        <w:t>= bottom-line mentality</w:t>
      </w:r>
      <w:r>
        <w:rPr>
          <w:rFonts w:eastAsia="Times New Roman"/>
          <w:i/>
          <w:szCs w:val="24"/>
        </w:rPr>
        <w:t>.</w:t>
      </w:r>
    </w:p>
    <w:p w14:paraId="128BD417" w14:textId="5370EF6D" w:rsidR="001C4F32" w:rsidRPr="00F05174" w:rsidRDefault="00F05174" w:rsidP="001C4F32">
      <w:pPr>
        <w:rPr>
          <w:rFonts w:eastAsia="Times New Roman"/>
          <w:szCs w:val="24"/>
        </w:rPr>
      </w:pPr>
      <w:r w:rsidRPr="00F05174">
        <w:rPr>
          <w:rFonts w:eastAsia="Times New Roman"/>
          <w:szCs w:val="24"/>
          <w:vertAlign w:val="superscript"/>
        </w:rPr>
        <w:t>a</w:t>
      </w:r>
      <w:r w:rsidRPr="00F05174">
        <w:rPr>
          <w:rFonts w:eastAsia="Times New Roman"/>
          <w:szCs w:val="24"/>
        </w:rPr>
        <w:t xml:space="preserve"> employee demographic</w:t>
      </w:r>
      <w:r>
        <w:rPr>
          <w:rFonts w:eastAsia="Times New Roman"/>
          <w:szCs w:val="24"/>
        </w:rPr>
        <w:t>.</w:t>
      </w:r>
      <w:r w:rsidR="001C4F32" w:rsidRPr="00F05174">
        <w:rPr>
          <w:rFonts w:eastAsia="Times New Roman"/>
          <w:szCs w:val="24"/>
        </w:rPr>
        <w:t xml:space="preserve"> </w:t>
      </w:r>
    </w:p>
    <w:p w14:paraId="1954323A" w14:textId="1194A9E2" w:rsidR="001C4F32" w:rsidRDefault="001C4F32" w:rsidP="001C4F32">
      <w:pPr>
        <w:rPr>
          <w:rFonts w:eastAsia="Times New Roman"/>
          <w:szCs w:val="24"/>
          <w:vertAlign w:val="superscript"/>
        </w:rPr>
      </w:pPr>
      <w:r>
        <w:rPr>
          <w:rFonts w:eastAsia="Times New Roman"/>
          <w:szCs w:val="24"/>
        </w:rPr>
        <w:t>Bootstrapped estimates for the standard error are shown.</w:t>
      </w:r>
    </w:p>
    <w:p w14:paraId="32ACE1E6" w14:textId="1440F7E1" w:rsidR="001C4F32" w:rsidRDefault="001C4F32">
      <w:pPr>
        <w:rPr>
          <w:szCs w:val="24"/>
        </w:rPr>
      </w:pPr>
      <w:r w:rsidRPr="003A4D97">
        <w:rPr>
          <w:szCs w:val="24"/>
          <w:vertAlign w:val="superscript"/>
        </w:rPr>
        <w:t>***</w:t>
      </w:r>
      <w:r>
        <w:rPr>
          <w:szCs w:val="24"/>
        </w:rPr>
        <w:t xml:space="preserve"> </w:t>
      </w:r>
      <w:r w:rsidRPr="003A4D97">
        <w:rPr>
          <w:i/>
          <w:szCs w:val="24"/>
        </w:rPr>
        <w:t>p</w:t>
      </w:r>
      <w:r>
        <w:rPr>
          <w:szCs w:val="24"/>
        </w:rPr>
        <w:t xml:space="preserve"> &lt; .001, </w:t>
      </w:r>
      <w:r w:rsidRPr="003A4D97">
        <w:rPr>
          <w:szCs w:val="24"/>
          <w:vertAlign w:val="superscript"/>
        </w:rPr>
        <w:t>**</w:t>
      </w:r>
      <w:r>
        <w:rPr>
          <w:szCs w:val="24"/>
          <w:vertAlign w:val="superscript"/>
        </w:rPr>
        <w:t xml:space="preserve"> </w:t>
      </w:r>
      <w:r w:rsidRPr="003A4D97">
        <w:rPr>
          <w:i/>
          <w:szCs w:val="24"/>
        </w:rPr>
        <w:t>p</w:t>
      </w:r>
      <w:r>
        <w:rPr>
          <w:szCs w:val="24"/>
        </w:rPr>
        <w:t xml:space="preserve"> &lt; .01, </w:t>
      </w:r>
      <w:r w:rsidRPr="003A4D97">
        <w:rPr>
          <w:szCs w:val="24"/>
          <w:vertAlign w:val="superscript"/>
        </w:rPr>
        <w:t>*</w:t>
      </w:r>
      <w:r>
        <w:rPr>
          <w:szCs w:val="24"/>
          <w:vertAlign w:val="superscript"/>
        </w:rPr>
        <w:t xml:space="preserve"> </w:t>
      </w:r>
      <w:r w:rsidRPr="003A4D97">
        <w:rPr>
          <w:i/>
          <w:szCs w:val="24"/>
        </w:rPr>
        <w:t>p</w:t>
      </w:r>
      <w:r>
        <w:rPr>
          <w:szCs w:val="24"/>
        </w:rPr>
        <w:t xml:space="preserve"> &lt; .05.</w:t>
      </w:r>
    </w:p>
    <w:p w14:paraId="57C81F37" w14:textId="77777777" w:rsidR="001C4F32" w:rsidRDefault="001C4F32">
      <w:pPr>
        <w:rPr>
          <w:szCs w:val="24"/>
        </w:rPr>
        <w:sectPr w:rsidR="001C4F32" w:rsidSect="00F27E54">
          <w:headerReference w:type="first" r:id="rId10"/>
          <w:pgSz w:w="12240" w:h="15840"/>
          <w:pgMar w:top="1440" w:right="1440" w:bottom="1440" w:left="1440" w:header="720" w:footer="720" w:gutter="0"/>
          <w:cols w:space="720"/>
          <w:docGrid w:linePitch="326"/>
        </w:sectPr>
      </w:pPr>
    </w:p>
    <w:p w14:paraId="49E58C1C" w14:textId="48B83EE1" w:rsidR="00F0204A" w:rsidRPr="003827BF" w:rsidRDefault="00A42E11" w:rsidP="00A42E11">
      <w:pPr>
        <w:tabs>
          <w:tab w:val="center" w:pos="4680"/>
          <w:tab w:val="left" w:pos="5445"/>
        </w:tabs>
        <w:spacing w:line="480" w:lineRule="auto"/>
        <w:rPr>
          <w:szCs w:val="24"/>
        </w:rPr>
      </w:pPr>
      <w:r w:rsidRPr="003827BF">
        <w:rPr>
          <w:szCs w:val="24"/>
        </w:rPr>
        <w:lastRenderedPageBreak/>
        <w:t>Table</w:t>
      </w:r>
      <w:r w:rsidR="00F0204A" w:rsidRPr="003827BF">
        <w:rPr>
          <w:szCs w:val="24"/>
        </w:rPr>
        <w:t xml:space="preserve"> </w:t>
      </w:r>
      <w:r w:rsidR="00A6493D">
        <w:rPr>
          <w:szCs w:val="24"/>
        </w:rPr>
        <w:t>3</w:t>
      </w:r>
    </w:p>
    <w:p w14:paraId="39382273" w14:textId="644A987B" w:rsidR="00141C96" w:rsidRDefault="00CC12E9" w:rsidP="00A42E11">
      <w:pPr>
        <w:spacing w:line="480" w:lineRule="auto"/>
        <w:rPr>
          <w:szCs w:val="24"/>
        </w:rPr>
      </w:pPr>
      <w:r>
        <w:rPr>
          <w:i/>
          <w:szCs w:val="24"/>
        </w:rPr>
        <w:t>Study 1 – Moderated-</w:t>
      </w:r>
      <w:r w:rsidR="00141C96" w:rsidRPr="003827BF">
        <w:rPr>
          <w:i/>
          <w:szCs w:val="24"/>
        </w:rPr>
        <w:t>Mediation Analyses using Hayes’ (2013) PROCESS Macro (Model 7)</w:t>
      </w:r>
    </w:p>
    <w:tbl>
      <w:tblPr>
        <w:tblW w:w="8330" w:type="dxa"/>
        <w:tblLook w:val="04A0" w:firstRow="1" w:lastRow="0" w:firstColumn="1" w:lastColumn="0" w:noHBand="0" w:noVBand="1"/>
      </w:tblPr>
      <w:tblGrid>
        <w:gridCol w:w="3330"/>
        <w:gridCol w:w="1130"/>
        <w:gridCol w:w="990"/>
        <w:gridCol w:w="1350"/>
        <w:gridCol w:w="1530"/>
      </w:tblGrid>
      <w:tr w:rsidR="000474F8" w:rsidRPr="000474F8" w14:paraId="1FE7BCE5" w14:textId="77777777" w:rsidTr="000474F8">
        <w:trPr>
          <w:trHeight w:val="315"/>
        </w:trPr>
        <w:tc>
          <w:tcPr>
            <w:tcW w:w="3330" w:type="dxa"/>
            <w:tcBorders>
              <w:top w:val="single" w:sz="4" w:space="0" w:color="auto"/>
              <w:left w:val="nil"/>
              <w:bottom w:val="nil"/>
              <w:right w:val="nil"/>
            </w:tcBorders>
            <w:shd w:val="clear" w:color="auto" w:fill="auto"/>
            <w:noWrap/>
            <w:vAlign w:val="bottom"/>
            <w:hideMark/>
          </w:tcPr>
          <w:p w14:paraId="78800E35" w14:textId="77777777" w:rsidR="000474F8" w:rsidRPr="000474F8" w:rsidRDefault="000474F8" w:rsidP="000474F8">
            <w:pPr>
              <w:rPr>
                <w:rFonts w:eastAsia="Times New Roman"/>
                <w:color w:val="000000"/>
                <w:szCs w:val="24"/>
              </w:rPr>
            </w:pPr>
            <w:r w:rsidRPr="000474F8">
              <w:rPr>
                <w:rFonts w:eastAsia="Times New Roman"/>
                <w:color w:val="000000"/>
                <w:szCs w:val="24"/>
              </w:rPr>
              <w:t> </w:t>
            </w:r>
          </w:p>
        </w:tc>
        <w:tc>
          <w:tcPr>
            <w:tcW w:w="2120" w:type="dxa"/>
            <w:gridSpan w:val="2"/>
            <w:tcBorders>
              <w:top w:val="single" w:sz="4" w:space="0" w:color="auto"/>
              <w:left w:val="nil"/>
              <w:bottom w:val="single" w:sz="4" w:space="0" w:color="auto"/>
              <w:right w:val="nil"/>
            </w:tcBorders>
            <w:shd w:val="clear" w:color="auto" w:fill="auto"/>
            <w:noWrap/>
            <w:vAlign w:val="bottom"/>
            <w:hideMark/>
          </w:tcPr>
          <w:p w14:paraId="63ADF818"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Mediator model</w:t>
            </w:r>
          </w:p>
        </w:tc>
        <w:tc>
          <w:tcPr>
            <w:tcW w:w="2880" w:type="dxa"/>
            <w:gridSpan w:val="2"/>
            <w:tcBorders>
              <w:top w:val="single" w:sz="4" w:space="0" w:color="auto"/>
              <w:left w:val="nil"/>
              <w:bottom w:val="single" w:sz="4" w:space="0" w:color="auto"/>
              <w:right w:val="nil"/>
            </w:tcBorders>
            <w:shd w:val="clear" w:color="auto" w:fill="auto"/>
            <w:noWrap/>
            <w:vAlign w:val="bottom"/>
            <w:hideMark/>
          </w:tcPr>
          <w:p w14:paraId="24139FD7"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Dependent variable model</w:t>
            </w:r>
          </w:p>
        </w:tc>
      </w:tr>
      <w:tr w:rsidR="000474F8" w:rsidRPr="000474F8" w14:paraId="6AD878D1" w14:textId="77777777" w:rsidTr="000474F8">
        <w:trPr>
          <w:trHeight w:val="315"/>
        </w:trPr>
        <w:tc>
          <w:tcPr>
            <w:tcW w:w="3330" w:type="dxa"/>
            <w:tcBorders>
              <w:top w:val="nil"/>
              <w:left w:val="nil"/>
              <w:bottom w:val="nil"/>
              <w:right w:val="nil"/>
            </w:tcBorders>
            <w:shd w:val="clear" w:color="auto" w:fill="auto"/>
            <w:noWrap/>
            <w:vAlign w:val="bottom"/>
            <w:hideMark/>
          </w:tcPr>
          <w:p w14:paraId="1846631A" w14:textId="77777777" w:rsidR="000474F8" w:rsidRPr="000474F8" w:rsidRDefault="000474F8" w:rsidP="000474F8">
            <w:pPr>
              <w:jc w:val="center"/>
              <w:rPr>
                <w:rFonts w:eastAsia="Times New Roman"/>
                <w:color w:val="000000"/>
                <w:szCs w:val="24"/>
              </w:rPr>
            </w:pPr>
          </w:p>
        </w:tc>
        <w:tc>
          <w:tcPr>
            <w:tcW w:w="2120" w:type="dxa"/>
            <w:gridSpan w:val="2"/>
            <w:tcBorders>
              <w:top w:val="single" w:sz="4" w:space="0" w:color="auto"/>
              <w:left w:val="nil"/>
              <w:bottom w:val="single" w:sz="4" w:space="0" w:color="auto"/>
              <w:right w:val="nil"/>
            </w:tcBorders>
            <w:shd w:val="clear" w:color="auto" w:fill="auto"/>
            <w:noWrap/>
            <w:vAlign w:val="bottom"/>
            <w:hideMark/>
          </w:tcPr>
          <w:p w14:paraId="5F54A1FA"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LMX</w:t>
            </w:r>
          </w:p>
        </w:tc>
        <w:tc>
          <w:tcPr>
            <w:tcW w:w="2880" w:type="dxa"/>
            <w:gridSpan w:val="2"/>
            <w:tcBorders>
              <w:top w:val="nil"/>
              <w:left w:val="nil"/>
              <w:bottom w:val="single" w:sz="4" w:space="0" w:color="auto"/>
              <w:right w:val="nil"/>
            </w:tcBorders>
            <w:shd w:val="clear" w:color="auto" w:fill="auto"/>
            <w:noWrap/>
            <w:vAlign w:val="bottom"/>
            <w:hideMark/>
          </w:tcPr>
          <w:p w14:paraId="4CD6E33D"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Task performance</w:t>
            </w:r>
          </w:p>
        </w:tc>
      </w:tr>
      <w:tr w:rsidR="000474F8" w:rsidRPr="000474F8" w14:paraId="4EC9947E" w14:textId="77777777" w:rsidTr="000474F8">
        <w:trPr>
          <w:trHeight w:val="315"/>
        </w:trPr>
        <w:tc>
          <w:tcPr>
            <w:tcW w:w="3330" w:type="dxa"/>
            <w:tcBorders>
              <w:top w:val="nil"/>
              <w:left w:val="nil"/>
              <w:bottom w:val="single" w:sz="4" w:space="0" w:color="auto"/>
              <w:right w:val="nil"/>
            </w:tcBorders>
            <w:shd w:val="clear" w:color="auto" w:fill="auto"/>
            <w:noWrap/>
            <w:vAlign w:val="bottom"/>
            <w:hideMark/>
          </w:tcPr>
          <w:p w14:paraId="0D9FEC14" w14:textId="77777777" w:rsidR="000474F8" w:rsidRPr="000474F8" w:rsidRDefault="000474F8" w:rsidP="000474F8">
            <w:pPr>
              <w:rPr>
                <w:rFonts w:eastAsia="Times New Roman"/>
                <w:color w:val="000000"/>
                <w:szCs w:val="24"/>
              </w:rPr>
            </w:pPr>
            <w:r w:rsidRPr="000474F8">
              <w:rPr>
                <w:rFonts w:eastAsia="Times New Roman"/>
                <w:color w:val="000000"/>
                <w:szCs w:val="24"/>
              </w:rPr>
              <w:t> </w:t>
            </w:r>
          </w:p>
        </w:tc>
        <w:tc>
          <w:tcPr>
            <w:tcW w:w="1130" w:type="dxa"/>
            <w:tcBorders>
              <w:top w:val="nil"/>
              <w:left w:val="nil"/>
              <w:bottom w:val="single" w:sz="4" w:space="0" w:color="auto"/>
              <w:right w:val="nil"/>
            </w:tcBorders>
            <w:shd w:val="clear" w:color="auto" w:fill="auto"/>
            <w:noWrap/>
            <w:vAlign w:val="bottom"/>
            <w:hideMark/>
          </w:tcPr>
          <w:p w14:paraId="4B30825F" w14:textId="77777777" w:rsidR="000474F8" w:rsidRPr="000474F8" w:rsidRDefault="000474F8" w:rsidP="000474F8">
            <w:pPr>
              <w:jc w:val="center"/>
              <w:rPr>
                <w:rFonts w:eastAsia="Times New Roman"/>
                <w:i/>
                <w:iCs/>
                <w:color w:val="000000"/>
                <w:szCs w:val="24"/>
              </w:rPr>
            </w:pPr>
            <w:r w:rsidRPr="000474F8">
              <w:rPr>
                <w:rFonts w:eastAsia="Times New Roman"/>
                <w:i/>
                <w:iCs/>
                <w:color w:val="000000"/>
                <w:szCs w:val="24"/>
              </w:rPr>
              <w:t>b</w:t>
            </w:r>
          </w:p>
        </w:tc>
        <w:tc>
          <w:tcPr>
            <w:tcW w:w="990" w:type="dxa"/>
            <w:tcBorders>
              <w:top w:val="nil"/>
              <w:left w:val="nil"/>
              <w:bottom w:val="single" w:sz="4" w:space="0" w:color="auto"/>
              <w:right w:val="nil"/>
            </w:tcBorders>
            <w:shd w:val="clear" w:color="auto" w:fill="auto"/>
            <w:noWrap/>
            <w:vAlign w:val="bottom"/>
            <w:hideMark/>
          </w:tcPr>
          <w:p w14:paraId="1F065ED0" w14:textId="77777777" w:rsidR="000474F8" w:rsidRPr="000474F8" w:rsidRDefault="000474F8" w:rsidP="000474F8">
            <w:pPr>
              <w:jc w:val="center"/>
              <w:rPr>
                <w:rFonts w:eastAsia="Times New Roman"/>
                <w:i/>
                <w:iCs/>
                <w:color w:val="000000"/>
                <w:szCs w:val="24"/>
              </w:rPr>
            </w:pPr>
            <w:r w:rsidRPr="000474F8">
              <w:rPr>
                <w:rFonts w:eastAsia="Times New Roman"/>
                <w:i/>
                <w:iCs/>
                <w:color w:val="000000"/>
                <w:szCs w:val="24"/>
              </w:rPr>
              <w:t>SE</w:t>
            </w:r>
          </w:p>
        </w:tc>
        <w:tc>
          <w:tcPr>
            <w:tcW w:w="1350" w:type="dxa"/>
            <w:tcBorders>
              <w:top w:val="nil"/>
              <w:left w:val="nil"/>
              <w:bottom w:val="single" w:sz="4" w:space="0" w:color="auto"/>
              <w:right w:val="nil"/>
            </w:tcBorders>
            <w:shd w:val="clear" w:color="auto" w:fill="auto"/>
            <w:noWrap/>
            <w:vAlign w:val="bottom"/>
            <w:hideMark/>
          </w:tcPr>
          <w:p w14:paraId="52702568" w14:textId="77777777" w:rsidR="000474F8" w:rsidRPr="000474F8" w:rsidRDefault="000474F8" w:rsidP="000474F8">
            <w:pPr>
              <w:jc w:val="center"/>
              <w:rPr>
                <w:rFonts w:eastAsia="Times New Roman"/>
                <w:i/>
                <w:iCs/>
                <w:color w:val="000000"/>
                <w:szCs w:val="24"/>
              </w:rPr>
            </w:pPr>
            <w:r w:rsidRPr="000474F8">
              <w:rPr>
                <w:rFonts w:eastAsia="Times New Roman"/>
                <w:i/>
                <w:iCs/>
                <w:color w:val="000000"/>
                <w:szCs w:val="24"/>
              </w:rPr>
              <w:t>b</w:t>
            </w:r>
          </w:p>
        </w:tc>
        <w:tc>
          <w:tcPr>
            <w:tcW w:w="1530" w:type="dxa"/>
            <w:tcBorders>
              <w:top w:val="nil"/>
              <w:left w:val="nil"/>
              <w:bottom w:val="single" w:sz="4" w:space="0" w:color="auto"/>
              <w:right w:val="nil"/>
            </w:tcBorders>
            <w:shd w:val="clear" w:color="auto" w:fill="auto"/>
            <w:noWrap/>
            <w:vAlign w:val="bottom"/>
            <w:hideMark/>
          </w:tcPr>
          <w:p w14:paraId="3357EA70" w14:textId="77777777" w:rsidR="000474F8" w:rsidRPr="000474F8" w:rsidRDefault="000474F8" w:rsidP="000474F8">
            <w:pPr>
              <w:jc w:val="center"/>
              <w:rPr>
                <w:rFonts w:eastAsia="Times New Roman"/>
                <w:i/>
                <w:iCs/>
                <w:color w:val="000000"/>
                <w:szCs w:val="24"/>
              </w:rPr>
            </w:pPr>
            <w:r w:rsidRPr="000474F8">
              <w:rPr>
                <w:rFonts w:eastAsia="Times New Roman"/>
                <w:i/>
                <w:iCs/>
                <w:color w:val="000000"/>
                <w:szCs w:val="24"/>
              </w:rPr>
              <w:t>SE</w:t>
            </w:r>
          </w:p>
        </w:tc>
      </w:tr>
      <w:tr w:rsidR="000474F8" w:rsidRPr="000474F8" w14:paraId="5DFC2860" w14:textId="77777777" w:rsidTr="000474F8">
        <w:trPr>
          <w:trHeight w:val="315"/>
        </w:trPr>
        <w:tc>
          <w:tcPr>
            <w:tcW w:w="3330" w:type="dxa"/>
            <w:tcBorders>
              <w:top w:val="nil"/>
              <w:left w:val="nil"/>
              <w:bottom w:val="nil"/>
              <w:right w:val="nil"/>
            </w:tcBorders>
            <w:shd w:val="clear" w:color="auto" w:fill="auto"/>
            <w:noWrap/>
            <w:vAlign w:val="bottom"/>
            <w:hideMark/>
          </w:tcPr>
          <w:p w14:paraId="26527C64" w14:textId="77777777" w:rsidR="000474F8" w:rsidRPr="000474F8" w:rsidRDefault="000474F8" w:rsidP="000474F8">
            <w:pPr>
              <w:rPr>
                <w:rFonts w:eastAsia="Times New Roman"/>
                <w:color w:val="000000"/>
                <w:szCs w:val="24"/>
              </w:rPr>
            </w:pPr>
            <w:r w:rsidRPr="000474F8">
              <w:rPr>
                <w:rFonts w:eastAsia="Times New Roman"/>
                <w:color w:val="000000"/>
                <w:szCs w:val="24"/>
              </w:rPr>
              <w:t>Constant</w:t>
            </w:r>
          </w:p>
        </w:tc>
        <w:tc>
          <w:tcPr>
            <w:tcW w:w="1130" w:type="dxa"/>
            <w:tcBorders>
              <w:top w:val="nil"/>
              <w:left w:val="nil"/>
              <w:bottom w:val="nil"/>
              <w:right w:val="nil"/>
            </w:tcBorders>
            <w:shd w:val="clear" w:color="auto" w:fill="auto"/>
            <w:noWrap/>
            <w:vAlign w:val="bottom"/>
            <w:hideMark/>
          </w:tcPr>
          <w:p w14:paraId="457AE145" w14:textId="56EE8DFA" w:rsidR="000474F8" w:rsidRPr="000474F8" w:rsidRDefault="000474F8" w:rsidP="000474F8">
            <w:pPr>
              <w:tabs>
                <w:tab w:val="decimal" w:pos="270"/>
              </w:tabs>
              <w:rPr>
                <w:rFonts w:eastAsia="Times New Roman"/>
                <w:color w:val="000000"/>
                <w:szCs w:val="24"/>
              </w:rPr>
            </w:pPr>
            <w:r w:rsidRPr="000474F8">
              <w:rPr>
                <w:rFonts w:eastAsia="Times New Roman"/>
                <w:color w:val="000000"/>
                <w:szCs w:val="24"/>
              </w:rPr>
              <w:t>5.</w:t>
            </w:r>
            <w:r w:rsidR="00966D34">
              <w:rPr>
                <w:rFonts w:eastAsia="Times New Roman"/>
                <w:color w:val="000000"/>
                <w:szCs w:val="24"/>
              </w:rPr>
              <w:t>84</w:t>
            </w:r>
            <w:r w:rsidRPr="000474F8">
              <w:rPr>
                <w:rFonts w:eastAsia="Times New Roman"/>
                <w:color w:val="000000"/>
                <w:szCs w:val="24"/>
                <w:vertAlign w:val="superscript"/>
              </w:rPr>
              <w:t>***</w:t>
            </w:r>
          </w:p>
        </w:tc>
        <w:tc>
          <w:tcPr>
            <w:tcW w:w="990" w:type="dxa"/>
            <w:tcBorders>
              <w:top w:val="nil"/>
              <w:left w:val="nil"/>
              <w:bottom w:val="nil"/>
              <w:right w:val="nil"/>
            </w:tcBorders>
            <w:shd w:val="clear" w:color="auto" w:fill="auto"/>
            <w:noWrap/>
            <w:vAlign w:val="bottom"/>
            <w:hideMark/>
          </w:tcPr>
          <w:p w14:paraId="1620DED9" w14:textId="6E957CFF" w:rsidR="000474F8" w:rsidRPr="000474F8" w:rsidRDefault="000474F8" w:rsidP="000474F8">
            <w:pPr>
              <w:jc w:val="center"/>
              <w:rPr>
                <w:rFonts w:eastAsia="Times New Roman"/>
                <w:color w:val="000000"/>
                <w:szCs w:val="24"/>
              </w:rPr>
            </w:pPr>
            <w:r w:rsidRPr="000474F8">
              <w:rPr>
                <w:rFonts w:eastAsia="Times New Roman"/>
                <w:color w:val="000000"/>
                <w:szCs w:val="24"/>
              </w:rPr>
              <w:t>0.</w:t>
            </w:r>
            <w:r w:rsidR="00966D34">
              <w:rPr>
                <w:rFonts w:eastAsia="Times New Roman"/>
                <w:color w:val="000000"/>
                <w:szCs w:val="24"/>
              </w:rPr>
              <w:t>07</w:t>
            </w:r>
          </w:p>
        </w:tc>
        <w:tc>
          <w:tcPr>
            <w:tcW w:w="1350" w:type="dxa"/>
            <w:tcBorders>
              <w:top w:val="nil"/>
              <w:left w:val="nil"/>
              <w:bottom w:val="nil"/>
              <w:right w:val="nil"/>
            </w:tcBorders>
            <w:shd w:val="clear" w:color="auto" w:fill="auto"/>
            <w:noWrap/>
            <w:vAlign w:val="bottom"/>
            <w:hideMark/>
          </w:tcPr>
          <w:p w14:paraId="0611E8F4" w14:textId="6BBD8AD9" w:rsidR="000474F8" w:rsidRPr="000474F8" w:rsidRDefault="000474F8" w:rsidP="000474F8">
            <w:pPr>
              <w:tabs>
                <w:tab w:val="decimal" w:pos="405"/>
              </w:tabs>
              <w:rPr>
                <w:rFonts w:eastAsia="Times New Roman"/>
                <w:color w:val="000000"/>
                <w:szCs w:val="24"/>
              </w:rPr>
            </w:pPr>
            <w:r w:rsidRPr="000474F8">
              <w:rPr>
                <w:rFonts w:eastAsia="Times New Roman"/>
                <w:color w:val="000000"/>
                <w:szCs w:val="24"/>
              </w:rPr>
              <w:t>5.</w:t>
            </w:r>
            <w:r w:rsidR="00966D34">
              <w:rPr>
                <w:rFonts w:eastAsia="Times New Roman"/>
                <w:color w:val="000000"/>
                <w:szCs w:val="24"/>
              </w:rPr>
              <w:t>48</w:t>
            </w:r>
            <w:r w:rsidRPr="000474F8">
              <w:rPr>
                <w:rFonts w:eastAsia="Times New Roman"/>
                <w:color w:val="000000"/>
                <w:szCs w:val="24"/>
                <w:vertAlign w:val="superscript"/>
              </w:rPr>
              <w:t>***</w:t>
            </w:r>
          </w:p>
        </w:tc>
        <w:tc>
          <w:tcPr>
            <w:tcW w:w="1530" w:type="dxa"/>
            <w:tcBorders>
              <w:top w:val="nil"/>
              <w:left w:val="nil"/>
              <w:bottom w:val="nil"/>
              <w:right w:val="nil"/>
            </w:tcBorders>
            <w:shd w:val="clear" w:color="auto" w:fill="auto"/>
            <w:noWrap/>
            <w:vAlign w:val="bottom"/>
            <w:hideMark/>
          </w:tcPr>
          <w:p w14:paraId="78227C01" w14:textId="765BDEEC" w:rsidR="000474F8" w:rsidRPr="000474F8" w:rsidRDefault="000474F8" w:rsidP="000474F8">
            <w:pPr>
              <w:jc w:val="center"/>
              <w:rPr>
                <w:rFonts w:eastAsia="Times New Roman"/>
                <w:color w:val="000000"/>
                <w:szCs w:val="24"/>
              </w:rPr>
            </w:pPr>
            <w:r w:rsidRPr="000474F8">
              <w:rPr>
                <w:rFonts w:eastAsia="Times New Roman"/>
                <w:color w:val="000000"/>
                <w:szCs w:val="24"/>
              </w:rPr>
              <w:t>0.3</w:t>
            </w:r>
            <w:r w:rsidR="00966D34">
              <w:rPr>
                <w:rFonts w:eastAsia="Times New Roman"/>
                <w:color w:val="000000"/>
                <w:szCs w:val="24"/>
              </w:rPr>
              <w:t>4</w:t>
            </w:r>
          </w:p>
        </w:tc>
      </w:tr>
      <w:tr w:rsidR="000474F8" w:rsidRPr="000474F8" w14:paraId="793EF64E" w14:textId="77777777" w:rsidTr="000474F8">
        <w:trPr>
          <w:trHeight w:val="315"/>
        </w:trPr>
        <w:tc>
          <w:tcPr>
            <w:tcW w:w="3330" w:type="dxa"/>
            <w:tcBorders>
              <w:top w:val="nil"/>
              <w:left w:val="nil"/>
              <w:bottom w:val="nil"/>
              <w:right w:val="nil"/>
            </w:tcBorders>
            <w:shd w:val="clear" w:color="auto" w:fill="auto"/>
            <w:noWrap/>
            <w:vAlign w:val="bottom"/>
            <w:hideMark/>
          </w:tcPr>
          <w:p w14:paraId="2DA5C803" w14:textId="77777777" w:rsidR="000474F8" w:rsidRPr="000474F8" w:rsidRDefault="000474F8" w:rsidP="000474F8">
            <w:pPr>
              <w:rPr>
                <w:rFonts w:eastAsia="Times New Roman"/>
                <w:color w:val="000000"/>
                <w:szCs w:val="24"/>
              </w:rPr>
            </w:pPr>
            <w:r w:rsidRPr="000474F8">
              <w:rPr>
                <w:rFonts w:eastAsia="Times New Roman"/>
                <w:color w:val="000000"/>
                <w:szCs w:val="24"/>
              </w:rPr>
              <w:t>Supervisor BLM</w:t>
            </w:r>
            <w:r w:rsidRPr="000474F8">
              <w:rPr>
                <w:rFonts w:eastAsia="Times New Roman"/>
                <w:color w:val="000000"/>
                <w:szCs w:val="24"/>
                <w:vertAlign w:val="superscript"/>
              </w:rPr>
              <w:t>a</w:t>
            </w:r>
          </w:p>
        </w:tc>
        <w:tc>
          <w:tcPr>
            <w:tcW w:w="1130" w:type="dxa"/>
            <w:tcBorders>
              <w:top w:val="nil"/>
              <w:left w:val="nil"/>
              <w:bottom w:val="nil"/>
              <w:right w:val="nil"/>
            </w:tcBorders>
            <w:shd w:val="clear" w:color="auto" w:fill="auto"/>
            <w:noWrap/>
            <w:vAlign w:val="bottom"/>
            <w:hideMark/>
          </w:tcPr>
          <w:p w14:paraId="4BF6EC76" w14:textId="0CF13A60" w:rsidR="000474F8" w:rsidRPr="000474F8" w:rsidRDefault="000474F8" w:rsidP="000474F8">
            <w:pPr>
              <w:tabs>
                <w:tab w:val="decimal" w:pos="270"/>
              </w:tabs>
              <w:rPr>
                <w:rFonts w:eastAsia="Times New Roman"/>
                <w:color w:val="000000"/>
                <w:szCs w:val="24"/>
              </w:rPr>
            </w:pPr>
            <w:r w:rsidRPr="000474F8">
              <w:rPr>
                <w:rFonts w:eastAsia="Times New Roman"/>
                <w:color w:val="000000"/>
                <w:szCs w:val="24"/>
              </w:rPr>
              <w:t>-0.</w:t>
            </w:r>
            <w:r w:rsidR="00966D34">
              <w:rPr>
                <w:rFonts w:eastAsia="Times New Roman"/>
                <w:color w:val="000000"/>
                <w:szCs w:val="24"/>
              </w:rPr>
              <w:t>30</w:t>
            </w:r>
            <w:r w:rsidRPr="000474F8">
              <w:rPr>
                <w:rFonts w:eastAsia="Times New Roman"/>
                <w:color w:val="000000"/>
                <w:szCs w:val="24"/>
                <w:vertAlign w:val="superscript"/>
              </w:rPr>
              <w:t>***</w:t>
            </w:r>
          </w:p>
        </w:tc>
        <w:tc>
          <w:tcPr>
            <w:tcW w:w="990" w:type="dxa"/>
            <w:tcBorders>
              <w:top w:val="nil"/>
              <w:left w:val="nil"/>
              <w:bottom w:val="nil"/>
              <w:right w:val="nil"/>
            </w:tcBorders>
            <w:shd w:val="clear" w:color="auto" w:fill="auto"/>
            <w:noWrap/>
            <w:vAlign w:val="bottom"/>
            <w:hideMark/>
          </w:tcPr>
          <w:p w14:paraId="5ADA4EBF"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0.05</w:t>
            </w:r>
          </w:p>
        </w:tc>
        <w:tc>
          <w:tcPr>
            <w:tcW w:w="1350" w:type="dxa"/>
            <w:tcBorders>
              <w:top w:val="nil"/>
              <w:left w:val="nil"/>
              <w:bottom w:val="nil"/>
              <w:right w:val="nil"/>
            </w:tcBorders>
            <w:shd w:val="clear" w:color="auto" w:fill="auto"/>
            <w:noWrap/>
            <w:vAlign w:val="bottom"/>
            <w:hideMark/>
          </w:tcPr>
          <w:p w14:paraId="040BD41A" w14:textId="3809019A" w:rsidR="000474F8" w:rsidRPr="000474F8" w:rsidRDefault="000474F8" w:rsidP="000474F8">
            <w:pPr>
              <w:tabs>
                <w:tab w:val="decimal" w:pos="405"/>
              </w:tabs>
              <w:rPr>
                <w:rFonts w:eastAsia="Times New Roman"/>
                <w:color w:val="000000"/>
                <w:szCs w:val="24"/>
              </w:rPr>
            </w:pPr>
            <w:r w:rsidRPr="000474F8">
              <w:rPr>
                <w:rFonts w:eastAsia="Times New Roman"/>
                <w:color w:val="000000"/>
                <w:szCs w:val="24"/>
              </w:rPr>
              <w:t>-0.0</w:t>
            </w:r>
            <w:r w:rsidR="00966D34">
              <w:rPr>
                <w:rFonts w:eastAsia="Times New Roman"/>
                <w:color w:val="000000"/>
                <w:szCs w:val="24"/>
              </w:rPr>
              <w:t>4</w:t>
            </w:r>
          </w:p>
        </w:tc>
        <w:tc>
          <w:tcPr>
            <w:tcW w:w="1530" w:type="dxa"/>
            <w:tcBorders>
              <w:top w:val="nil"/>
              <w:left w:val="nil"/>
              <w:bottom w:val="nil"/>
              <w:right w:val="nil"/>
            </w:tcBorders>
            <w:shd w:val="clear" w:color="auto" w:fill="auto"/>
            <w:noWrap/>
            <w:vAlign w:val="bottom"/>
            <w:hideMark/>
          </w:tcPr>
          <w:p w14:paraId="54D48D56"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0.04</w:t>
            </w:r>
          </w:p>
        </w:tc>
      </w:tr>
      <w:tr w:rsidR="000474F8" w:rsidRPr="000474F8" w14:paraId="3AFE8855" w14:textId="77777777" w:rsidTr="000474F8">
        <w:trPr>
          <w:trHeight w:val="315"/>
        </w:trPr>
        <w:tc>
          <w:tcPr>
            <w:tcW w:w="3330" w:type="dxa"/>
            <w:tcBorders>
              <w:top w:val="nil"/>
              <w:left w:val="nil"/>
              <w:bottom w:val="nil"/>
              <w:right w:val="nil"/>
            </w:tcBorders>
            <w:shd w:val="clear" w:color="auto" w:fill="auto"/>
            <w:noWrap/>
            <w:vAlign w:val="bottom"/>
            <w:hideMark/>
          </w:tcPr>
          <w:p w14:paraId="7F7BF4E9" w14:textId="77777777" w:rsidR="000474F8" w:rsidRPr="000474F8" w:rsidRDefault="000474F8" w:rsidP="000474F8">
            <w:pPr>
              <w:rPr>
                <w:rFonts w:eastAsia="Times New Roman"/>
                <w:color w:val="000000"/>
                <w:szCs w:val="24"/>
              </w:rPr>
            </w:pPr>
            <w:r w:rsidRPr="000474F8">
              <w:rPr>
                <w:rFonts w:eastAsia="Times New Roman"/>
                <w:color w:val="000000"/>
                <w:szCs w:val="24"/>
              </w:rPr>
              <w:t>Employee BLM</w:t>
            </w:r>
            <w:r w:rsidRPr="000474F8">
              <w:rPr>
                <w:rFonts w:eastAsia="Times New Roman"/>
                <w:color w:val="000000"/>
                <w:szCs w:val="24"/>
                <w:vertAlign w:val="superscript"/>
              </w:rPr>
              <w:t>a</w:t>
            </w:r>
          </w:p>
        </w:tc>
        <w:tc>
          <w:tcPr>
            <w:tcW w:w="1130" w:type="dxa"/>
            <w:tcBorders>
              <w:top w:val="nil"/>
              <w:left w:val="nil"/>
              <w:bottom w:val="nil"/>
              <w:right w:val="nil"/>
            </w:tcBorders>
            <w:shd w:val="clear" w:color="auto" w:fill="auto"/>
            <w:noWrap/>
            <w:vAlign w:val="bottom"/>
            <w:hideMark/>
          </w:tcPr>
          <w:p w14:paraId="516F821C" w14:textId="002039DD" w:rsidR="000474F8" w:rsidRPr="000474F8" w:rsidRDefault="000474F8" w:rsidP="000474F8">
            <w:pPr>
              <w:tabs>
                <w:tab w:val="decimal" w:pos="270"/>
              </w:tabs>
              <w:rPr>
                <w:rFonts w:eastAsia="Times New Roman"/>
                <w:color w:val="000000"/>
                <w:szCs w:val="24"/>
              </w:rPr>
            </w:pPr>
            <w:r w:rsidRPr="000474F8">
              <w:rPr>
                <w:rFonts w:eastAsia="Times New Roman"/>
                <w:color w:val="000000"/>
                <w:szCs w:val="24"/>
              </w:rPr>
              <w:t>0.1</w:t>
            </w:r>
            <w:r w:rsidR="00966D34">
              <w:rPr>
                <w:rFonts w:eastAsia="Times New Roman"/>
                <w:color w:val="000000"/>
                <w:szCs w:val="24"/>
              </w:rPr>
              <w:t>8</w:t>
            </w:r>
            <w:r w:rsidRPr="000474F8">
              <w:rPr>
                <w:rFonts w:eastAsia="Times New Roman"/>
                <w:color w:val="000000"/>
                <w:szCs w:val="24"/>
                <w:vertAlign w:val="superscript"/>
              </w:rPr>
              <w:t>*</w:t>
            </w:r>
          </w:p>
        </w:tc>
        <w:tc>
          <w:tcPr>
            <w:tcW w:w="990" w:type="dxa"/>
            <w:tcBorders>
              <w:top w:val="nil"/>
              <w:left w:val="nil"/>
              <w:bottom w:val="nil"/>
              <w:right w:val="nil"/>
            </w:tcBorders>
            <w:shd w:val="clear" w:color="auto" w:fill="auto"/>
            <w:noWrap/>
            <w:vAlign w:val="bottom"/>
            <w:hideMark/>
          </w:tcPr>
          <w:p w14:paraId="3DDF4291"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0.06</w:t>
            </w:r>
          </w:p>
        </w:tc>
        <w:tc>
          <w:tcPr>
            <w:tcW w:w="1350" w:type="dxa"/>
            <w:tcBorders>
              <w:top w:val="nil"/>
              <w:left w:val="nil"/>
              <w:bottom w:val="nil"/>
              <w:right w:val="nil"/>
            </w:tcBorders>
            <w:shd w:val="clear" w:color="auto" w:fill="auto"/>
            <w:noWrap/>
            <w:vAlign w:val="bottom"/>
            <w:hideMark/>
          </w:tcPr>
          <w:p w14:paraId="390978B6" w14:textId="77777777" w:rsidR="000474F8" w:rsidRPr="000474F8" w:rsidRDefault="000474F8" w:rsidP="000474F8">
            <w:pPr>
              <w:tabs>
                <w:tab w:val="decimal" w:pos="405"/>
              </w:tabs>
              <w:jc w:val="center"/>
              <w:rPr>
                <w:rFonts w:eastAsia="Times New Roman"/>
                <w:color w:val="000000"/>
                <w:szCs w:val="24"/>
              </w:rPr>
            </w:pPr>
          </w:p>
        </w:tc>
        <w:tc>
          <w:tcPr>
            <w:tcW w:w="1530" w:type="dxa"/>
            <w:tcBorders>
              <w:top w:val="nil"/>
              <w:left w:val="nil"/>
              <w:bottom w:val="nil"/>
              <w:right w:val="nil"/>
            </w:tcBorders>
            <w:shd w:val="clear" w:color="auto" w:fill="auto"/>
            <w:noWrap/>
            <w:vAlign w:val="bottom"/>
            <w:hideMark/>
          </w:tcPr>
          <w:p w14:paraId="3B68B542" w14:textId="77777777" w:rsidR="000474F8" w:rsidRPr="000474F8" w:rsidRDefault="000474F8" w:rsidP="000474F8">
            <w:pPr>
              <w:rPr>
                <w:rFonts w:eastAsia="Times New Roman"/>
                <w:sz w:val="20"/>
                <w:szCs w:val="20"/>
              </w:rPr>
            </w:pPr>
          </w:p>
        </w:tc>
      </w:tr>
      <w:tr w:rsidR="000474F8" w:rsidRPr="000474F8" w14:paraId="21DDF82A" w14:textId="77777777" w:rsidTr="000474F8">
        <w:trPr>
          <w:trHeight w:val="315"/>
        </w:trPr>
        <w:tc>
          <w:tcPr>
            <w:tcW w:w="3330" w:type="dxa"/>
            <w:tcBorders>
              <w:top w:val="nil"/>
              <w:left w:val="nil"/>
              <w:bottom w:val="nil"/>
              <w:right w:val="nil"/>
            </w:tcBorders>
            <w:shd w:val="clear" w:color="auto" w:fill="auto"/>
            <w:noWrap/>
            <w:vAlign w:val="bottom"/>
            <w:hideMark/>
          </w:tcPr>
          <w:p w14:paraId="51C0F92C" w14:textId="24F3EFFD" w:rsidR="000474F8" w:rsidRPr="000474F8" w:rsidRDefault="000474F8" w:rsidP="00FC6A0A">
            <w:pPr>
              <w:rPr>
                <w:rFonts w:eastAsia="Times New Roman"/>
                <w:color w:val="000000"/>
                <w:szCs w:val="24"/>
              </w:rPr>
            </w:pPr>
            <w:r w:rsidRPr="000474F8">
              <w:rPr>
                <w:rFonts w:eastAsia="Times New Roman"/>
                <w:color w:val="000000"/>
                <w:szCs w:val="24"/>
              </w:rPr>
              <w:t xml:space="preserve">SBLM </w:t>
            </w:r>
            <w:r w:rsidR="00FC6A0A">
              <w:rPr>
                <w:rFonts w:eastAsia="Times New Roman"/>
                <w:color w:val="000000"/>
                <w:szCs w:val="24"/>
              </w:rPr>
              <w:t>×</w:t>
            </w:r>
            <w:r w:rsidRPr="000474F8">
              <w:rPr>
                <w:rFonts w:eastAsia="Times New Roman"/>
                <w:color w:val="000000"/>
                <w:szCs w:val="24"/>
              </w:rPr>
              <w:t xml:space="preserve"> EBLM</w:t>
            </w:r>
          </w:p>
        </w:tc>
        <w:tc>
          <w:tcPr>
            <w:tcW w:w="1130" w:type="dxa"/>
            <w:tcBorders>
              <w:top w:val="nil"/>
              <w:left w:val="nil"/>
              <w:bottom w:val="nil"/>
              <w:right w:val="nil"/>
            </w:tcBorders>
            <w:shd w:val="clear" w:color="auto" w:fill="auto"/>
            <w:noWrap/>
            <w:vAlign w:val="bottom"/>
            <w:hideMark/>
          </w:tcPr>
          <w:p w14:paraId="7323F415" w14:textId="77777777" w:rsidR="000474F8" w:rsidRPr="000474F8" w:rsidRDefault="000474F8" w:rsidP="000474F8">
            <w:pPr>
              <w:tabs>
                <w:tab w:val="decimal" w:pos="270"/>
              </w:tabs>
              <w:rPr>
                <w:rFonts w:eastAsia="Times New Roman"/>
                <w:color w:val="000000"/>
                <w:szCs w:val="24"/>
              </w:rPr>
            </w:pPr>
            <w:r w:rsidRPr="000474F8">
              <w:rPr>
                <w:rFonts w:eastAsia="Times New Roman"/>
                <w:color w:val="000000"/>
                <w:szCs w:val="24"/>
              </w:rPr>
              <w:t>0.09</w:t>
            </w:r>
            <w:r w:rsidRPr="000474F8">
              <w:rPr>
                <w:rFonts w:eastAsia="Times New Roman"/>
                <w:color w:val="000000"/>
                <w:szCs w:val="24"/>
                <w:vertAlign w:val="superscript"/>
              </w:rPr>
              <w:t>*</w:t>
            </w:r>
          </w:p>
        </w:tc>
        <w:tc>
          <w:tcPr>
            <w:tcW w:w="990" w:type="dxa"/>
            <w:tcBorders>
              <w:top w:val="nil"/>
              <w:left w:val="nil"/>
              <w:bottom w:val="nil"/>
              <w:right w:val="nil"/>
            </w:tcBorders>
            <w:shd w:val="clear" w:color="auto" w:fill="auto"/>
            <w:noWrap/>
            <w:vAlign w:val="bottom"/>
            <w:hideMark/>
          </w:tcPr>
          <w:p w14:paraId="4557C76F" w14:textId="48E458CE" w:rsidR="000474F8" w:rsidRPr="000474F8" w:rsidRDefault="000474F8" w:rsidP="000474F8">
            <w:pPr>
              <w:jc w:val="center"/>
              <w:rPr>
                <w:rFonts w:eastAsia="Times New Roman"/>
                <w:color w:val="000000"/>
                <w:szCs w:val="24"/>
              </w:rPr>
            </w:pPr>
            <w:r w:rsidRPr="000474F8">
              <w:rPr>
                <w:rFonts w:eastAsia="Times New Roman"/>
                <w:color w:val="000000"/>
                <w:szCs w:val="24"/>
              </w:rPr>
              <w:t>0.0</w:t>
            </w:r>
            <w:r w:rsidR="00966D34">
              <w:rPr>
                <w:rFonts w:eastAsia="Times New Roman"/>
                <w:color w:val="000000"/>
                <w:szCs w:val="24"/>
              </w:rPr>
              <w:t>4</w:t>
            </w:r>
          </w:p>
        </w:tc>
        <w:tc>
          <w:tcPr>
            <w:tcW w:w="1350" w:type="dxa"/>
            <w:tcBorders>
              <w:top w:val="nil"/>
              <w:left w:val="nil"/>
              <w:bottom w:val="nil"/>
              <w:right w:val="nil"/>
            </w:tcBorders>
            <w:shd w:val="clear" w:color="auto" w:fill="auto"/>
            <w:noWrap/>
            <w:vAlign w:val="bottom"/>
            <w:hideMark/>
          </w:tcPr>
          <w:p w14:paraId="538AC643" w14:textId="77777777" w:rsidR="000474F8" w:rsidRPr="000474F8" w:rsidRDefault="000474F8" w:rsidP="000474F8">
            <w:pPr>
              <w:tabs>
                <w:tab w:val="decimal" w:pos="405"/>
              </w:tabs>
              <w:jc w:val="center"/>
              <w:rPr>
                <w:rFonts w:eastAsia="Times New Roman"/>
                <w:color w:val="000000"/>
                <w:szCs w:val="24"/>
              </w:rPr>
            </w:pPr>
          </w:p>
        </w:tc>
        <w:tc>
          <w:tcPr>
            <w:tcW w:w="1530" w:type="dxa"/>
            <w:tcBorders>
              <w:top w:val="nil"/>
              <w:left w:val="nil"/>
              <w:bottom w:val="nil"/>
              <w:right w:val="nil"/>
            </w:tcBorders>
            <w:shd w:val="clear" w:color="auto" w:fill="auto"/>
            <w:noWrap/>
            <w:vAlign w:val="bottom"/>
            <w:hideMark/>
          </w:tcPr>
          <w:p w14:paraId="0DE4E97C" w14:textId="77777777" w:rsidR="000474F8" w:rsidRPr="000474F8" w:rsidRDefault="000474F8" w:rsidP="000474F8">
            <w:pPr>
              <w:rPr>
                <w:rFonts w:eastAsia="Times New Roman"/>
                <w:sz w:val="20"/>
                <w:szCs w:val="20"/>
              </w:rPr>
            </w:pPr>
          </w:p>
        </w:tc>
      </w:tr>
      <w:tr w:rsidR="000474F8" w:rsidRPr="000474F8" w14:paraId="3F9CB044" w14:textId="77777777" w:rsidTr="000474F8">
        <w:trPr>
          <w:trHeight w:val="315"/>
        </w:trPr>
        <w:tc>
          <w:tcPr>
            <w:tcW w:w="3330" w:type="dxa"/>
            <w:tcBorders>
              <w:top w:val="nil"/>
              <w:left w:val="nil"/>
              <w:right w:val="nil"/>
            </w:tcBorders>
            <w:shd w:val="clear" w:color="auto" w:fill="auto"/>
            <w:noWrap/>
            <w:vAlign w:val="bottom"/>
            <w:hideMark/>
          </w:tcPr>
          <w:p w14:paraId="5B862CFC" w14:textId="77777777" w:rsidR="000474F8" w:rsidRPr="000474F8" w:rsidRDefault="000474F8" w:rsidP="000474F8">
            <w:pPr>
              <w:rPr>
                <w:rFonts w:eastAsia="Times New Roman"/>
                <w:color w:val="000000"/>
                <w:szCs w:val="24"/>
              </w:rPr>
            </w:pPr>
            <w:r w:rsidRPr="000474F8">
              <w:rPr>
                <w:rFonts w:eastAsia="Times New Roman"/>
                <w:color w:val="000000"/>
                <w:szCs w:val="24"/>
              </w:rPr>
              <w:t>LMX</w:t>
            </w:r>
          </w:p>
        </w:tc>
        <w:tc>
          <w:tcPr>
            <w:tcW w:w="1130" w:type="dxa"/>
            <w:tcBorders>
              <w:top w:val="nil"/>
              <w:left w:val="nil"/>
              <w:bottom w:val="nil"/>
              <w:right w:val="nil"/>
            </w:tcBorders>
            <w:shd w:val="clear" w:color="auto" w:fill="auto"/>
            <w:noWrap/>
            <w:vAlign w:val="bottom"/>
            <w:hideMark/>
          </w:tcPr>
          <w:p w14:paraId="4578B58F" w14:textId="77777777" w:rsidR="000474F8" w:rsidRPr="000474F8" w:rsidRDefault="000474F8" w:rsidP="000474F8">
            <w:pPr>
              <w:tabs>
                <w:tab w:val="decimal" w:pos="270"/>
              </w:tabs>
              <w:rPr>
                <w:rFonts w:eastAsia="Times New Roman"/>
                <w:color w:val="000000"/>
                <w:szCs w:val="24"/>
              </w:rPr>
            </w:pPr>
          </w:p>
        </w:tc>
        <w:tc>
          <w:tcPr>
            <w:tcW w:w="990" w:type="dxa"/>
            <w:tcBorders>
              <w:top w:val="nil"/>
              <w:left w:val="nil"/>
              <w:bottom w:val="nil"/>
              <w:right w:val="nil"/>
            </w:tcBorders>
            <w:shd w:val="clear" w:color="auto" w:fill="auto"/>
            <w:noWrap/>
            <w:vAlign w:val="bottom"/>
            <w:hideMark/>
          </w:tcPr>
          <w:p w14:paraId="42DA0C03" w14:textId="77777777" w:rsidR="000474F8" w:rsidRPr="000474F8" w:rsidRDefault="000474F8" w:rsidP="000474F8">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20B997E" w14:textId="2FB37883" w:rsidR="000474F8" w:rsidRPr="000474F8" w:rsidRDefault="000474F8" w:rsidP="000474F8">
            <w:pPr>
              <w:tabs>
                <w:tab w:val="decimal" w:pos="405"/>
              </w:tabs>
              <w:rPr>
                <w:rFonts w:eastAsia="Times New Roman"/>
                <w:color w:val="000000"/>
                <w:szCs w:val="24"/>
              </w:rPr>
            </w:pPr>
            <w:r w:rsidRPr="000474F8">
              <w:rPr>
                <w:rFonts w:eastAsia="Times New Roman"/>
                <w:color w:val="000000"/>
                <w:szCs w:val="24"/>
              </w:rPr>
              <w:t>0.1</w:t>
            </w:r>
            <w:r w:rsidR="00966D34">
              <w:rPr>
                <w:rFonts w:eastAsia="Times New Roman"/>
                <w:color w:val="000000"/>
                <w:szCs w:val="24"/>
              </w:rPr>
              <w:t>6</w:t>
            </w:r>
            <w:r w:rsidRPr="000474F8">
              <w:rPr>
                <w:rFonts w:eastAsia="Times New Roman"/>
                <w:color w:val="000000"/>
                <w:szCs w:val="24"/>
                <w:vertAlign w:val="superscript"/>
              </w:rPr>
              <w:t>*</w:t>
            </w:r>
          </w:p>
        </w:tc>
        <w:tc>
          <w:tcPr>
            <w:tcW w:w="1530" w:type="dxa"/>
            <w:tcBorders>
              <w:top w:val="nil"/>
              <w:left w:val="nil"/>
              <w:bottom w:val="nil"/>
              <w:right w:val="nil"/>
            </w:tcBorders>
            <w:shd w:val="clear" w:color="auto" w:fill="auto"/>
            <w:noWrap/>
            <w:vAlign w:val="bottom"/>
            <w:hideMark/>
          </w:tcPr>
          <w:p w14:paraId="520C5EC6"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0.06</w:t>
            </w:r>
          </w:p>
        </w:tc>
      </w:tr>
      <w:tr w:rsidR="000474F8" w:rsidRPr="000474F8" w14:paraId="43323807" w14:textId="77777777" w:rsidTr="000474F8">
        <w:trPr>
          <w:trHeight w:val="315"/>
        </w:trPr>
        <w:tc>
          <w:tcPr>
            <w:tcW w:w="3330" w:type="dxa"/>
            <w:tcBorders>
              <w:top w:val="nil"/>
              <w:left w:val="nil"/>
              <w:bottom w:val="single" w:sz="4" w:space="0" w:color="auto"/>
              <w:right w:val="nil"/>
            </w:tcBorders>
            <w:shd w:val="clear" w:color="auto" w:fill="auto"/>
            <w:noWrap/>
            <w:vAlign w:val="bottom"/>
            <w:hideMark/>
          </w:tcPr>
          <w:p w14:paraId="7922EE7A" w14:textId="77777777" w:rsidR="000474F8" w:rsidRPr="00D02AAA" w:rsidRDefault="000474F8" w:rsidP="000474F8">
            <w:pPr>
              <w:rPr>
                <w:rFonts w:eastAsia="Times New Roman"/>
                <w:i/>
                <w:color w:val="000000"/>
                <w:szCs w:val="24"/>
              </w:rPr>
            </w:pPr>
            <w:r w:rsidRPr="00D02AAA">
              <w:rPr>
                <w:rFonts w:eastAsia="Times New Roman"/>
                <w:i/>
                <w:color w:val="000000"/>
                <w:szCs w:val="24"/>
              </w:rPr>
              <w:t>R</w:t>
            </w:r>
            <w:r w:rsidRPr="00D02AAA">
              <w:rPr>
                <w:rFonts w:eastAsia="Times New Roman"/>
                <w:i/>
                <w:color w:val="000000"/>
                <w:szCs w:val="24"/>
                <w:vertAlign w:val="superscript"/>
              </w:rPr>
              <w:t>2</w:t>
            </w:r>
          </w:p>
        </w:tc>
        <w:tc>
          <w:tcPr>
            <w:tcW w:w="1130" w:type="dxa"/>
            <w:tcBorders>
              <w:top w:val="nil"/>
              <w:left w:val="nil"/>
              <w:bottom w:val="nil"/>
              <w:right w:val="nil"/>
            </w:tcBorders>
            <w:shd w:val="clear" w:color="auto" w:fill="auto"/>
            <w:noWrap/>
            <w:vAlign w:val="bottom"/>
            <w:hideMark/>
          </w:tcPr>
          <w:p w14:paraId="4C23ACFD" w14:textId="3192DFE3" w:rsidR="000474F8" w:rsidRPr="000474F8" w:rsidRDefault="000474F8" w:rsidP="000474F8">
            <w:pPr>
              <w:tabs>
                <w:tab w:val="decimal" w:pos="270"/>
              </w:tabs>
              <w:rPr>
                <w:rFonts w:eastAsia="Times New Roman"/>
                <w:color w:val="000000"/>
                <w:szCs w:val="24"/>
              </w:rPr>
            </w:pPr>
            <w:r w:rsidRPr="000474F8">
              <w:rPr>
                <w:rFonts w:eastAsia="Times New Roman"/>
                <w:color w:val="000000"/>
                <w:szCs w:val="24"/>
              </w:rPr>
              <w:t>0.2</w:t>
            </w:r>
            <w:r w:rsidR="00966D34">
              <w:rPr>
                <w:rFonts w:eastAsia="Times New Roman"/>
                <w:color w:val="000000"/>
                <w:szCs w:val="24"/>
              </w:rPr>
              <w:t>0</w:t>
            </w:r>
            <w:r w:rsidRPr="000474F8">
              <w:rPr>
                <w:rFonts w:eastAsia="Times New Roman"/>
                <w:color w:val="000000"/>
                <w:szCs w:val="24"/>
                <w:vertAlign w:val="superscript"/>
              </w:rPr>
              <w:t>***</w:t>
            </w:r>
          </w:p>
        </w:tc>
        <w:tc>
          <w:tcPr>
            <w:tcW w:w="990" w:type="dxa"/>
            <w:tcBorders>
              <w:top w:val="nil"/>
              <w:left w:val="nil"/>
              <w:bottom w:val="nil"/>
              <w:right w:val="nil"/>
            </w:tcBorders>
            <w:shd w:val="clear" w:color="auto" w:fill="auto"/>
            <w:noWrap/>
            <w:vAlign w:val="bottom"/>
            <w:hideMark/>
          </w:tcPr>
          <w:p w14:paraId="0FB04AB1" w14:textId="77777777" w:rsidR="000474F8" w:rsidRPr="00CC12E9" w:rsidRDefault="000474F8" w:rsidP="000474F8">
            <w:pPr>
              <w:rPr>
                <w:rFonts w:eastAsia="Times New Roman"/>
                <w:color w:val="000000"/>
                <w:szCs w:val="24"/>
              </w:rPr>
            </w:pPr>
          </w:p>
        </w:tc>
        <w:tc>
          <w:tcPr>
            <w:tcW w:w="1350" w:type="dxa"/>
            <w:tcBorders>
              <w:top w:val="nil"/>
              <w:left w:val="nil"/>
              <w:bottom w:val="nil"/>
              <w:right w:val="nil"/>
            </w:tcBorders>
            <w:shd w:val="clear" w:color="auto" w:fill="auto"/>
            <w:noWrap/>
            <w:vAlign w:val="bottom"/>
            <w:hideMark/>
          </w:tcPr>
          <w:p w14:paraId="792E2789" w14:textId="33C16031" w:rsidR="000474F8" w:rsidRPr="000474F8" w:rsidRDefault="000474F8" w:rsidP="000474F8">
            <w:pPr>
              <w:tabs>
                <w:tab w:val="decimal" w:pos="405"/>
              </w:tabs>
              <w:rPr>
                <w:rFonts w:eastAsia="Times New Roman"/>
                <w:color w:val="000000"/>
                <w:szCs w:val="24"/>
              </w:rPr>
            </w:pPr>
            <w:r w:rsidRPr="000474F8">
              <w:rPr>
                <w:rFonts w:eastAsia="Times New Roman"/>
                <w:color w:val="000000"/>
                <w:szCs w:val="24"/>
              </w:rPr>
              <w:t>0.0</w:t>
            </w:r>
            <w:r w:rsidR="00966D34">
              <w:rPr>
                <w:rFonts w:eastAsia="Times New Roman"/>
                <w:color w:val="000000"/>
                <w:szCs w:val="24"/>
              </w:rPr>
              <w:t>6</w:t>
            </w:r>
            <w:r w:rsidRPr="000474F8">
              <w:rPr>
                <w:rFonts w:eastAsia="Times New Roman"/>
                <w:color w:val="000000"/>
                <w:szCs w:val="24"/>
                <w:vertAlign w:val="superscript"/>
              </w:rPr>
              <w:t>*</w:t>
            </w:r>
            <w:r w:rsidR="00966D34">
              <w:rPr>
                <w:rFonts w:eastAsia="Times New Roman"/>
                <w:color w:val="000000"/>
                <w:szCs w:val="24"/>
                <w:vertAlign w:val="superscript"/>
              </w:rPr>
              <w:t>*</w:t>
            </w:r>
          </w:p>
        </w:tc>
        <w:tc>
          <w:tcPr>
            <w:tcW w:w="1530" w:type="dxa"/>
            <w:tcBorders>
              <w:top w:val="nil"/>
              <w:left w:val="nil"/>
              <w:bottom w:val="nil"/>
              <w:right w:val="nil"/>
            </w:tcBorders>
            <w:shd w:val="clear" w:color="auto" w:fill="auto"/>
            <w:noWrap/>
            <w:vAlign w:val="bottom"/>
            <w:hideMark/>
          </w:tcPr>
          <w:p w14:paraId="7AAFBEA8" w14:textId="77777777" w:rsidR="000474F8" w:rsidRPr="000474F8" w:rsidRDefault="000474F8" w:rsidP="000474F8">
            <w:pPr>
              <w:rPr>
                <w:rFonts w:eastAsia="Times New Roman"/>
                <w:color w:val="000000"/>
                <w:szCs w:val="24"/>
              </w:rPr>
            </w:pPr>
          </w:p>
        </w:tc>
      </w:tr>
      <w:tr w:rsidR="000474F8" w:rsidRPr="000474F8" w14:paraId="2355BD27" w14:textId="77777777" w:rsidTr="000474F8">
        <w:trPr>
          <w:trHeight w:val="315"/>
        </w:trPr>
        <w:tc>
          <w:tcPr>
            <w:tcW w:w="3330" w:type="dxa"/>
            <w:tcBorders>
              <w:top w:val="single" w:sz="4" w:space="0" w:color="auto"/>
              <w:left w:val="nil"/>
              <w:bottom w:val="single" w:sz="4" w:space="0" w:color="auto"/>
              <w:right w:val="nil"/>
            </w:tcBorders>
            <w:shd w:val="clear" w:color="auto" w:fill="auto"/>
            <w:noWrap/>
            <w:vAlign w:val="bottom"/>
            <w:hideMark/>
          </w:tcPr>
          <w:p w14:paraId="61226F3E"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Mediator: LMX</w:t>
            </w:r>
          </w:p>
        </w:tc>
        <w:tc>
          <w:tcPr>
            <w:tcW w:w="1130" w:type="dxa"/>
            <w:tcBorders>
              <w:top w:val="single" w:sz="4" w:space="0" w:color="auto"/>
              <w:left w:val="nil"/>
              <w:bottom w:val="single" w:sz="4" w:space="0" w:color="auto"/>
              <w:right w:val="nil"/>
            </w:tcBorders>
            <w:shd w:val="clear" w:color="auto" w:fill="auto"/>
            <w:noWrap/>
            <w:vAlign w:val="bottom"/>
            <w:hideMark/>
          </w:tcPr>
          <w:p w14:paraId="01128CB9"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 </w:t>
            </w:r>
          </w:p>
        </w:tc>
        <w:tc>
          <w:tcPr>
            <w:tcW w:w="990" w:type="dxa"/>
            <w:tcBorders>
              <w:top w:val="single" w:sz="4" w:space="0" w:color="auto"/>
              <w:left w:val="nil"/>
              <w:bottom w:val="single" w:sz="4" w:space="0" w:color="auto"/>
              <w:right w:val="nil"/>
            </w:tcBorders>
            <w:shd w:val="clear" w:color="auto" w:fill="auto"/>
            <w:noWrap/>
            <w:vAlign w:val="bottom"/>
            <w:hideMark/>
          </w:tcPr>
          <w:p w14:paraId="3FAD3799"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 </w:t>
            </w:r>
          </w:p>
        </w:tc>
        <w:tc>
          <w:tcPr>
            <w:tcW w:w="1350" w:type="dxa"/>
            <w:tcBorders>
              <w:top w:val="single" w:sz="4" w:space="0" w:color="auto"/>
              <w:left w:val="nil"/>
              <w:bottom w:val="single" w:sz="4" w:space="0" w:color="auto"/>
              <w:right w:val="nil"/>
            </w:tcBorders>
            <w:shd w:val="clear" w:color="auto" w:fill="auto"/>
            <w:noWrap/>
            <w:vAlign w:val="bottom"/>
            <w:hideMark/>
          </w:tcPr>
          <w:p w14:paraId="733AD0BB"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Effect (SE)</w:t>
            </w:r>
          </w:p>
        </w:tc>
        <w:tc>
          <w:tcPr>
            <w:tcW w:w="1530" w:type="dxa"/>
            <w:tcBorders>
              <w:top w:val="single" w:sz="4" w:space="0" w:color="auto"/>
              <w:left w:val="nil"/>
              <w:bottom w:val="single" w:sz="4" w:space="0" w:color="auto"/>
              <w:right w:val="nil"/>
            </w:tcBorders>
            <w:shd w:val="clear" w:color="auto" w:fill="auto"/>
            <w:noWrap/>
            <w:vAlign w:val="bottom"/>
            <w:hideMark/>
          </w:tcPr>
          <w:p w14:paraId="32668DAC"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CI</w:t>
            </w:r>
          </w:p>
        </w:tc>
      </w:tr>
      <w:tr w:rsidR="000474F8" w:rsidRPr="000474F8" w14:paraId="256D7747" w14:textId="77777777" w:rsidTr="000474F8">
        <w:trPr>
          <w:trHeight w:val="315"/>
        </w:trPr>
        <w:tc>
          <w:tcPr>
            <w:tcW w:w="3330" w:type="dxa"/>
            <w:tcBorders>
              <w:top w:val="nil"/>
              <w:left w:val="nil"/>
              <w:bottom w:val="nil"/>
              <w:right w:val="nil"/>
            </w:tcBorders>
            <w:shd w:val="clear" w:color="auto" w:fill="auto"/>
            <w:noWrap/>
            <w:vAlign w:val="bottom"/>
            <w:hideMark/>
          </w:tcPr>
          <w:p w14:paraId="2B464774"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-1 SD Employee BLM</w:t>
            </w:r>
          </w:p>
        </w:tc>
        <w:tc>
          <w:tcPr>
            <w:tcW w:w="1130" w:type="dxa"/>
            <w:tcBorders>
              <w:top w:val="nil"/>
              <w:left w:val="nil"/>
              <w:bottom w:val="nil"/>
              <w:right w:val="nil"/>
            </w:tcBorders>
            <w:shd w:val="clear" w:color="auto" w:fill="auto"/>
            <w:noWrap/>
            <w:vAlign w:val="bottom"/>
            <w:hideMark/>
          </w:tcPr>
          <w:p w14:paraId="422FEF27" w14:textId="77777777" w:rsidR="000474F8" w:rsidRPr="000474F8" w:rsidRDefault="000474F8" w:rsidP="000474F8">
            <w:pPr>
              <w:jc w:val="center"/>
              <w:rPr>
                <w:rFonts w:eastAsia="Times New Roman"/>
                <w:color w:val="000000"/>
                <w:szCs w:val="24"/>
              </w:rPr>
            </w:pPr>
          </w:p>
        </w:tc>
        <w:tc>
          <w:tcPr>
            <w:tcW w:w="990" w:type="dxa"/>
            <w:tcBorders>
              <w:top w:val="nil"/>
              <w:left w:val="nil"/>
              <w:bottom w:val="nil"/>
              <w:right w:val="nil"/>
            </w:tcBorders>
            <w:shd w:val="clear" w:color="auto" w:fill="auto"/>
            <w:noWrap/>
            <w:vAlign w:val="bottom"/>
            <w:hideMark/>
          </w:tcPr>
          <w:p w14:paraId="43F685FB" w14:textId="77777777" w:rsidR="000474F8" w:rsidRPr="000474F8" w:rsidRDefault="000474F8" w:rsidP="000474F8">
            <w:pPr>
              <w:jc w:val="cente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637ECDB7" w14:textId="77777777" w:rsidR="000474F8" w:rsidRPr="000474F8" w:rsidRDefault="000474F8" w:rsidP="000474F8">
            <w:pPr>
              <w:tabs>
                <w:tab w:val="decimal" w:pos="435"/>
              </w:tabs>
              <w:rPr>
                <w:rFonts w:eastAsia="Times New Roman"/>
                <w:color w:val="000000"/>
                <w:szCs w:val="24"/>
              </w:rPr>
            </w:pPr>
            <w:r w:rsidRPr="000474F8">
              <w:rPr>
                <w:rFonts w:eastAsia="Times New Roman"/>
                <w:color w:val="000000"/>
                <w:szCs w:val="24"/>
              </w:rPr>
              <w:t>-0.06 (.03)</w:t>
            </w:r>
          </w:p>
        </w:tc>
        <w:tc>
          <w:tcPr>
            <w:tcW w:w="1530" w:type="dxa"/>
            <w:tcBorders>
              <w:top w:val="nil"/>
              <w:left w:val="nil"/>
              <w:bottom w:val="nil"/>
              <w:right w:val="nil"/>
            </w:tcBorders>
            <w:shd w:val="clear" w:color="auto" w:fill="auto"/>
            <w:noWrap/>
            <w:vAlign w:val="bottom"/>
            <w:hideMark/>
          </w:tcPr>
          <w:p w14:paraId="12A6D607" w14:textId="4427E0C4" w:rsidR="000474F8" w:rsidRPr="000474F8" w:rsidRDefault="000474F8" w:rsidP="000474F8">
            <w:pPr>
              <w:jc w:val="right"/>
              <w:rPr>
                <w:rFonts w:eastAsia="Times New Roman"/>
                <w:color w:val="000000"/>
                <w:szCs w:val="24"/>
              </w:rPr>
            </w:pPr>
            <w:r w:rsidRPr="000474F8">
              <w:rPr>
                <w:rFonts w:eastAsia="Times New Roman"/>
                <w:color w:val="000000"/>
                <w:szCs w:val="24"/>
              </w:rPr>
              <w:t>(-.13</w:t>
            </w:r>
            <w:r w:rsidR="00966D34">
              <w:rPr>
                <w:rFonts w:eastAsia="Times New Roman"/>
                <w:color w:val="000000"/>
                <w:szCs w:val="24"/>
              </w:rPr>
              <w:t>2</w:t>
            </w:r>
            <w:r w:rsidRPr="000474F8">
              <w:rPr>
                <w:rFonts w:eastAsia="Times New Roman"/>
                <w:color w:val="000000"/>
                <w:szCs w:val="24"/>
              </w:rPr>
              <w:t>, -.01</w:t>
            </w:r>
            <w:r w:rsidR="00966D34">
              <w:rPr>
                <w:rFonts w:eastAsia="Times New Roman"/>
                <w:color w:val="000000"/>
                <w:szCs w:val="24"/>
              </w:rPr>
              <w:t>5</w:t>
            </w:r>
            <w:r w:rsidRPr="000474F8">
              <w:rPr>
                <w:rFonts w:eastAsia="Times New Roman"/>
                <w:color w:val="000000"/>
                <w:szCs w:val="24"/>
              </w:rPr>
              <w:t>)</w:t>
            </w:r>
          </w:p>
        </w:tc>
      </w:tr>
      <w:tr w:rsidR="000474F8" w:rsidRPr="000474F8" w14:paraId="7C822908" w14:textId="77777777" w:rsidTr="000474F8">
        <w:trPr>
          <w:trHeight w:val="315"/>
        </w:trPr>
        <w:tc>
          <w:tcPr>
            <w:tcW w:w="3330" w:type="dxa"/>
            <w:tcBorders>
              <w:top w:val="nil"/>
              <w:left w:val="nil"/>
              <w:bottom w:val="nil"/>
              <w:right w:val="nil"/>
            </w:tcBorders>
            <w:shd w:val="clear" w:color="auto" w:fill="auto"/>
            <w:noWrap/>
            <w:vAlign w:val="bottom"/>
            <w:hideMark/>
          </w:tcPr>
          <w:p w14:paraId="7385A320"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Mean Employee BLM</w:t>
            </w:r>
          </w:p>
        </w:tc>
        <w:tc>
          <w:tcPr>
            <w:tcW w:w="1130" w:type="dxa"/>
            <w:tcBorders>
              <w:top w:val="nil"/>
              <w:left w:val="nil"/>
              <w:bottom w:val="nil"/>
              <w:right w:val="nil"/>
            </w:tcBorders>
            <w:shd w:val="clear" w:color="auto" w:fill="auto"/>
            <w:noWrap/>
            <w:vAlign w:val="bottom"/>
            <w:hideMark/>
          </w:tcPr>
          <w:p w14:paraId="68CFF5A3" w14:textId="77777777" w:rsidR="000474F8" w:rsidRPr="000474F8" w:rsidRDefault="000474F8" w:rsidP="000474F8">
            <w:pPr>
              <w:jc w:val="center"/>
              <w:rPr>
                <w:rFonts w:eastAsia="Times New Roman"/>
                <w:color w:val="000000"/>
                <w:szCs w:val="24"/>
              </w:rPr>
            </w:pPr>
          </w:p>
        </w:tc>
        <w:tc>
          <w:tcPr>
            <w:tcW w:w="990" w:type="dxa"/>
            <w:tcBorders>
              <w:top w:val="nil"/>
              <w:left w:val="nil"/>
              <w:bottom w:val="nil"/>
              <w:right w:val="nil"/>
            </w:tcBorders>
            <w:shd w:val="clear" w:color="auto" w:fill="auto"/>
            <w:noWrap/>
            <w:vAlign w:val="bottom"/>
            <w:hideMark/>
          </w:tcPr>
          <w:p w14:paraId="0D0F6787" w14:textId="77777777" w:rsidR="000474F8" w:rsidRPr="000474F8" w:rsidRDefault="000474F8" w:rsidP="000474F8">
            <w:pPr>
              <w:jc w:val="cente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23035C71" w14:textId="09CF0003" w:rsidR="000474F8" w:rsidRPr="000474F8" w:rsidRDefault="000474F8" w:rsidP="000474F8">
            <w:pPr>
              <w:tabs>
                <w:tab w:val="decimal" w:pos="435"/>
              </w:tabs>
              <w:rPr>
                <w:rFonts w:eastAsia="Times New Roman"/>
                <w:color w:val="000000"/>
                <w:szCs w:val="24"/>
              </w:rPr>
            </w:pPr>
            <w:r w:rsidRPr="000474F8">
              <w:rPr>
                <w:rFonts w:eastAsia="Times New Roman"/>
                <w:color w:val="000000"/>
                <w:szCs w:val="24"/>
              </w:rPr>
              <w:t>-0.0</w:t>
            </w:r>
            <w:r w:rsidR="00966D34">
              <w:rPr>
                <w:rFonts w:eastAsia="Times New Roman"/>
                <w:color w:val="000000"/>
                <w:szCs w:val="24"/>
              </w:rPr>
              <w:t>5</w:t>
            </w:r>
            <w:r w:rsidRPr="000474F8">
              <w:rPr>
                <w:rFonts w:eastAsia="Times New Roman"/>
                <w:color w:val="000000"/>
                <w:szCs w:val="24"/>
              </w:rPr>
              <w:t xml:space="preserve"> (.02)</w:t>
            </w:r>
          </w:p>
        </w:tc>
        <w:tc>
          <w:tcPr>
            <w:tcW w:w="1530" w:type="dxa"/>
            <w:tcBorders>
              <w:top w:val="nil"/>
              <w:left w:val="nil"/>
              <w:bottom w:val="nil"/>
              <w:right w:val="nil"/>
            </w:tcBorders>
            <w:shd w:val="clear" w:color="auto" w:fill="auto"/>
            <w:noWrap/>
            <w:vAlign w:val="bottom"/>
            <w:hideMark/>
          </w:tcPr>
          <w:p w14:paraId="52FE2FF2" w14:textId="04A990C3" w:rsidR="000474F8" w:rsidRPr="000474F8" w:rsidRDefault="000474F8" w:rsidP="000474F8">
            <w:pPr>
              <w:jc w:val="right"/>
              <w:rPr>
                <w:rFonts w:eastAsia="Times New Roman"/>
                <w:color w:val="000000"/>
                <w:szCs w:val="24"/>
              </w:rPr>
            </w:pPr>
            <w:r w:rsidRPr="000474F8">
              <w:rPr>
                <w:rFonts w:eastAsia="Times New Roman"/>
                <w:color w:val="000000"/>
                <w:szCs w:val="24"/>
              </w:rPr>
              <w:t>(-.09</w:t>
            </w:r>
            <w:r w:rsidR="00966D34">
              <w:rPr>
                <w:rFonts w:eastAsia="Times New Roman"/>
                <w:color w:val="000000"/>
                <w:szCs w:val="24"/>
              </w:rPr>
              <w:t>6</w:t>
            </w:r>
            <w:r w:rsidRPr="000474F8">
              <w:rPr>
                <w:rFonts w:eastAsia="Times New Roman"/>
                <w:color w:val="000000"/>
                <w:szCs w:val="24"/>
              </w:rPr>
              <w:t>, -.00</w:t>
            </w:r>
            <w:r w:rsidR="00966D34">
              <w:rPr>
                <w:rFonts w:eastAsia="Times New Roman"/>
                <w:color w:val="000000"/>
                <w:szCs w:val="24"/>
              </w:rPr>
              <w:t>9</w:t>
            </w:r>
            <w:r w:rsidRPr="000474F8">
              <w:rPr>
                <w:rFonts w:eastAsia="Times New Roman"/>
                <w:color w:val="000000"/>
                <w:szCs w:val="24"/>
              </w:rPr>
              <w:t>)</w:t>
            </w:r>
          </w:p>
        </w:tc>
      </w:tr>
      <w:tr w:rsidR="000474F8" w:rsidRPr="000474F8" w14:paraId="1A3FF67D" w14:textId="77777777" w:rsidTr="000474F8">
        <w:trPr>
          <w:trHeight w:val="315"/>
        </w:trPr>
        <w:tc>
          <w:tcPr>
            <w:tcW w:w="3330" w:type="dxa"/>
            <w:tcBorders>
              <w:top w:val="nil"/>
              <w:left w:val="nil"/>
              <w:bottom w:val="nil"/>
              <w:right w:val="nil"/>
            </w:tcBorders>
            <w:shd w:val="clear" w:color="auto" w:fill="auto"/>
            <w:noWrap/>
            <w:vAlign w:val="bottom"/>
            <w:hideMark/>
          </w:tcPr>
          <w:p w14:paraId="286D1B1C"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+1 SD Employee BLM</w:t>
            </w:r>
          </w:p>
        </w:tc>
        <w:tc>
          <w:tcPr>
            <w:tcW w:w="1130" w:type="dxa"/>
            <w:tcBorders>
              <w:top w:val="nil"/>
              <w:left w:val="nil"/>
              <w:bottom w:val="nil"/>
              <w:right w:val="nil"/>
            </w:tcBorders>
            <w:shd w:val="clear" w:color="auto" w:fill="auto"/>
            <w:noWrap/>
            <w:vAlign w:val="bottom"/>
            <w:hideMark/>
          </w:tcPr>
          <w:p w14:paraId="7CB5B6BE" w14:textId="77777777" w:rsidR="000474F8" w:rsidRPr="000474F8" w:rsidRDefault="000474F8" w:rsidP="000474F8">
            <w:pPr>
              <w:jc w:val="center"/>
              <w:rPr>
                <w:rFonts w:eastAsia="Times New Roman"/>
                <w:color w:val="000000"/>
                <w:szCs w:val="24"/>
              </w:rPr>
            </w:pPr>
          </w:p>
        </w:tc>
        <w:tc>
          <w:tcPr>
            <w:tcW w:w="990" w:type="dxa"/>
            <w:tcBorders>
              <w:top w:val="nil"/>
              <w:left w:val="nil"/>
              <w:bottom w:val="nil"/>
              <w:right w:val="nil"/>
            </w:tcBorders>
            <w:shd w:val="clear" w:color="auto" w:fill="auto"/>
            <w:noWrap/>
            <w:vAlign w:val="bottom"/>
            <w:hideMark/>
          </w:tcPr>
          <w:p w14:paraId="6230925B" w14:textId="77777777" w:rsidR="000474F8" w:rsidRPr="000474F8" w:rsidRDefault="000474F8" w:rsidP="000474F8">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7C6B864B" w14:textId="77777777" w:rsidR="000474F8" w:rsidRPr="000474F8" w:rsidRDefault="000474F8" w:rsidP="000474F8">
            <w:pPr>
              <w:tabs>
                <w:tab w:val="decimal" w:pos="435"/>
              </w:tabs>
              <w:rPr>
                <w:rFonts w:eastAsia="Times New Roman"/>
                <w:color w:val="000000"/>
                <w:szCs w:val="24"/>
              </w:rPr>
            </w:pPr>
            <w:r w:rsidRPr="000474F8">
              <w:rPr>
                <w:rFonts w:eastAsia="Times New Roman"/>
                <w:color w:val="000000"/>
                <w:szCs w:val="24"/>
              </w:rPr>
              <w:t>-0.03 (.02)</w:t>
            </w:r>
          </w:p>
        </w:tc>
        <w:tc>
          <w:tcPr>
            <w:tcW w:w="1530" w:type="dxa"/>
            <w:tcBorders>
              <w:top w:val="nil"/>
              <w:left w:val="nil"/>
              <w:bottom w:val="nil"/>
              <w:right w:val="nil"/>
            </w:tcBorders>
            <w:shd w:val="clear" w:color="auto" w:fill="auto"/>
            <w:noWrap/>
            <w:vAlign w:val="bottom"/>
            <w:hideMark/>
          </w:tcPr>
          <w:p w14:paraId="440BF843" w14:textId="4914E97A" w:rsidR="000474F8" w:rsidRPr="000474F8" w:rsidRDefault="000474F8" w:rsidP="000474F8">
            <w:pPr>
              <w:jc w:val="right"/>
              <w:rPr>
                <w:rFonts w:eastAsia="Times New Roman"/>
                <w:color w:val="000000"/>
                <w:szCs w:val="24"/>
              </w:rPr>
            </w:pPr>
            <w:r w:rsidRPr="000474F8">
              <w:rPr>
                <w:rFonts w:eastAsia="Times New Roman"/>
                <w:color w:val="000000"/>
                <w:szCs w:val="24"/>
              </w:rPr>
              <w:t>(-.07</w:t>
            </w:r>
            <w:r w:rsidR="00966D34">
              <w:rPr>
                <w:rFonts w:eastAsia="Times New Roman"/>
                <w:color w:val="000000"/>
                <w:szCs w:val="24"/>
              </w:rPr>
              <w:t>9</w:t>
            </w:r>
            <w:r w:rsidRPr="000474F8">
              <w:rPr>
                <w:rFonts w:eastAsia="Times New Roman"/>
                <w:color w:val="000000"/>
                <w:szCs w:val="24"/>
              </w:rPr>
              <w:t>, -.00</w:t>
            </w:r>
            <w:r w:rsidR="00966D34">
              <w:rPr>
                <w:rFonts w:eastAsia="Times New Roman"/>
                <w:color w:val="000000"/>
                <w:szCs w:val="24"/>
              </w:rPr>
              <w:t>5</w:t>
            </w:r>
            <w:r w:rsidRPr="000474F8">
              <w:rPr>
                <w:rFonts w:eastAsia="Times New Roman"/>
                <w:color w:val="000000"/>
                <w:szCs w:val="24"/>
              </w:rPr>
              <w:t>)</w:t>
            </w:r>
          </w:p>
        </w:tc>
      </w:tr>
      <w:tr w:rsidR="000474F8" w:rsidRPr="000474F8" w14:paraId="5AB4FCFF" w14:textId="77777777" w:rsidTr="000474F8">
        <w:trPr>
          <w:trHeight w:val="315"/>
        </w:trPr>
        <w:tc>
          <w:tcPr>
            <w:tcW w:w="3330" w:type="dxa"/>
            <w:tcBorders>
              <w:top w:val="single" w:sz="4" w:space="0" w:color="auto"/>
              <w:left w:val="nil"/>
              <w:bottom w:val="single" w:sz="4" w:space="0" w:color="auto"/>
              <w:right w:val="nil"/>
            </w:tcBorders>
            <w:shd w:val="clear" w:color="auto" w:fill="auto"/>
            <w:noWrap/>
            <w:vAlign w:val="bottom"/>
            <w:hideMark/>
          </w:tcPr>
          <w:p w14:paraId="22DFCC37" w14:textId="77777777" w:rsidR="000474F8" w:rsidRPr="000474F8" w:rsidRDefault="000474F8" w:rsidP="000474F8">
            <w:pPr>
              <w:jc w:val="center"/>
              <w:rPr>
                <w:rFonts w:eastAsia="Times New Roman"/>
                <w:color w:val="000000"/>
                <w:szCs w:val="24"/>
              </w:rPr>
            </w:pPr>
            <w:r w:rsidRPr="000474F8">
              <w:rPr>
                <w:rFonts w:eastAsia="Times New Roman"/>
                <w:color w:val="000000"/>
                <w:szCs w:val="24"/>
              </w:rPr>
              <w:t>Index of Moderated Mediation</w:t>
            </w:r>
          </w:p>
        </w:tc>
        <w:tc>
          <w:tcPr>
            <w:tcW w:w="1130" w:type="dxa"/>
            <w:tcBorders>
              <w:top w:val="single" w:sz="4" w:space="0" w:color="auto"/>
              <w:left w:val="nil"/>
              <w:bottom w:val="single" w:sz="4" w:space="0" w:color="auto"/>
              <w:right w:val="nil"/>
            </w:tcBorders>
            <w:shd w:val="clear" w:color="auto" w:fill="auto"/>
            <w:noWrap/>
            <w:vAlign w:val="bottom"/>
            <w:hideMark/>
          </w:tcPr>
          <w:p w14:paraId="7EAA134C" w14:textId="77777777" w:rsidR="000474F8" w:rsidRPr="000474F8" w:rsidRDefault="000474F8" w:rsidP="000474F8">
            <w:pPr>
              <w:rPr>
                <w:rFonts w:ascii="Calibri" w:eastAsia="Times New Roman" w:hAnsi="Calibri"/>
                <w:color w:val="000000"/>
                <w:sz w:val="22"/>
              </w:rPr>
            </w:pPr>
            <w:r w:rsidRPr="000474F8">
              <w:rPr>
                <w:rFonts w:ascii="Calibri" w:eastAsia="Times New Roman" w:hAnsi="Calibri"/>
                <w:color w:val="000000"/>
                <w:sz w:val="22"/>
              </w:rPr>
              <w:t> </w:t>
            </w:r>
          </w:p>
        </w:tc>
        <w:tc>
          <w:tcPr>
            <w:tcW w:w="990" w:type="dxa"/>
            <w:tcBorders>
              <w:top w:val="single" w:sz="4" w:space="0" w:color="auto"/>
              <w:left w:val="nil"/>
              <w:bottom w:val="single" w:sz="4" w:space="0" w:color="auto"/>
              <w:right w:val="nil"/>
            </w:tcBorders>
            <w:shd w:val="clear" w:color="auto" w:fill="auto"/>
            <w:noWrap/>
            <w:vAlign w:val="bottom"/>
            <w:hideMark/>
          </w:tcPr>
          <w:p w14:paraId="5DB34916" w14:textId="77777777" w:rsidR="000474F8" w:rsidRPr="000474F8" w:rsidRDefault="000474F8" w:rsidP="000474F8">
            <w:pPr>
              <w:rPr>
                <w:rFonts w:ascii="Calibri" w:eastAsia="Times New Roman" w:hAnsi="Calibri"/>
                <w:color w:val="000000"/>
                <w:sz w:val="22"/>
              </w:rPr>
            </w:pPr>
            <w:r w:rsidRPr="000474F8">
              <w:rPr>
                <w:rFonts w:ascii="Calibri" w:eastAsia="Times New Roman" w:hAnsi="Calibri"/>
                <w:color w:val="000000"/>
                <w:sz w:val="22"/>
              </w:rPr>
              <w:t> </w:t>
            </w:r>
          </w:p>
        </w:tc>
        <w:tc>
          <w:tcPr>
            <w:tcW w:w="1350" w:type="dxa"/>
            <w:tcBorders>
              <w:top w:val="single" w:sz="4" w:space="0" w:color="auto"/>
              <w:left w:val="nil"/>
              <w:bottom w:val="single" w:sz="4" w:space="0" w:color="auto"/>
              <w:right w:val="nil"/>
            </w:tcBorders>
            <w:shd w:val="clear" w:color="auto" w:fill="auto"/>
            <w:noWrap/>
            <w:vAlign w:val="bottom"/>
            <w:hideMark/>
          </w:tcPr>
          <w:p w14:paraId="4207C236" w14:textId="77777777" w:rsidR="000474F8" w:rsidRPr="000474F8" w:rsidRDefault="000474F8" w:rsidP="000474F8">
            <w:pPr>
              <w:tabs>
                <w:tab w:val="decimal" w:pos="435"/>
              </w:tabs>
              <w:rPr>
                <w:rFonts w:eastAsia="Times New Roman"/>
                <w:color w:val="000000"/>
                <w:szCs w:val="24"/>
              </w:rPr>
            </w:pPr>
            <w:r w:rsidRPr="000474F8">
              <w:rPr>
                <w:rFonts w:eastAsia="Times New Roman"/>
                <w:color w:val="000000"/>
                <w:szCs w:val="24"/>
              </w:rPr>
              <w:t>0.01 (.01)</w:t>
            </w:r>
          </w:p>
        </w:tc>
        <w:tc>
          <w:tcPr>
            <w:tcW w:w="1530" w:type="dxa"/>
            <w:tcBorders>
              <w:top w:val="single" w:sz="4" w:space="0" w:color="auto"/>
              <w:left w:val="nil"/>
              <w:bottom w:val="single" w:sz="4" w:space="0" w:color="auto"/>
              <w:right w:val="nil"/>
            </w:tcBorders>
            <w:shd w:val="clear" w:color="auto" w:fill="auto"/>
            <w:noWrap/>
            <w:vAlign w:val="bottom"/>
            <w:hideMark/>
          </w:tcPr>
          <w:p w14:paraId="3EB256B4" w14:textId="38938790" w:rsidR="000474F8" w:rsidRPr="000474F8" w:rsidRDefault="000474F8" w:rsidP="000474F8">
            <w:pPr>
              <w:jc w:val="right"/>
              <w:rPr>
                <w:rFonts w:eastAsia="Times New Roman"/>
                <w:color w:val="000000"/>
                <w:szCs w:val="24"/>
              </w:rPr>
            </w:pPr>
            <w:r w:rsidRPr="000474F8">
              <w:rPr>
                <w:rFonts w:eastAsia="Times New Roman"/>
                <w:color w:val="000000"/>
                <w:szCs w:val="24"/>
              </w:rPr>
              <w:t>(.00</w:t>
            </w:r>
            <w:r w:rsidR="00966D34">
              <w:rPr>
                <w:rFonts w:eastAsia="Times New Roman"/>
                <w:color w:val="000000"/>
                <w:szCs w:val="24"/>
              </w:rPr>
              <w:t>1</w:t>
            </w:r>
            <w:r w:rsidRPr="000474F8">
              <w:rPr>
                <w:rFonts w:eastAsia="Times New Roman"/>
                <w:color w:val="000000"/>
                <w:szCs w:val="24"/>
              </w:rPr>
              <w:t>, .04</w:t>
            </w:r>
            <w:r w:rsidR="00966D34">
              <w:rPr>
                <w:rFonts w:eastAsia="Times New Roman"/>
                <w:color w:val="000000"/>
                <w:szCs w:val="24"/>
              </w:rPr>
              <w:t>7</w:t>
            </w:r>
            <w:r w:rsidRPr="000474F8">
              <w:rPr>
                <w:rFonts w:eastAsia="Times New Roman"/>
                <w:color w:val="000000"/>
                <w:szCs w:val="24"/>
              </w:rPr>
              <w:t>)</w:t>
            </w:r>
          </w:p>
        </w:tc>
      </w:tr>
    </w:tbl>
    <w:p w14:paraId="1D807754" w14:textId="2A5747BA" w:rsidR="000474F8" w:rsidRDefault="000474F8" w:rsidP="000474F8">
      <w:pPr>
        <w:rPr>
          <w:szCs w:val="24"/>
        </w:rPr>
      </w:pPr>
      <w:r w:rsidRPr="003A4D97">
        <w:rPr>
          <w:i/>
          <w:szCs w:val="24"/>
        </w:rPr>
        <w:t>Note</w:t>
      </w:r>
      <w:r>
        <w:rPr>
          <w:szCs w:val="24"/>
        </w:rPr>
        <w:t xml:space="preserve">. </w:t>
      </w:r>
      <w:r w:rsidRPr="003A4D97">
        <w:rPr>
          <w:i/>
          <w:szCs w:val="24"/>
        </w:rPr>
        <w:t>N</w:t>
      </w:r>
      <w:r>
        <w:rPr>
          <w:szCs w:val="24"/>
        </w:rPr>
        <w:t xml:space="preserve"> = 189. Bootstrap sample size = 5,000. 95% Confidence Interval (CI).</w:t>
      </w:r>
    </w:p>
    <w:p w14:paraId="646E812B" w14:textId="115CAE5F" w:rsidR="000474F8" w:rsidRPr="00872062" w:rsidRDefault="000474F8" w:rsidP="000474F8">
      <w:pPr>
        <w:rPr>
          <w:rFonts w:eastAsia="Times New Roman"/>
          <w:sz w:val="20"/>
          <w:szCs w:val="20"/>
        </w:rPr>
      </w:pPr>
      <w:r w:rsidRPr="00872062">
        <w:rPr>
          <w:rFonts w:eastAsia="Times New Roman"/>
          <w:szCs w:val="24"/>
          <w:vertAlign w:val="superscript"/>
        </w:rPr>
        <w:t>a</w:t>
      </w:r>
      <w:r w:rsidRPr="00872062">
        <w:rPr>
          <w:rFonts w:eastAsia="Times New Roman"/>
          <w:szCs w:val="24"/>
        </w:rPr>
        <w:t xml:space="preserve"> Variables were mean centered prior to analysis.</w:t>
      </w:r>
      <w:r w:rsidR="00CC12E9">
        <w:rPr>
          <w:rFonts w:eastAsia="Times New Roman"/>
          <w:szCs w:val="24"/>
        </w:rPr>
        <w:t xml:space="preserve"> </w:t>
      </w:r>
      <w:r w:rsidR="00CC12E9" w:rsidRPr="00CC12E9">
        <w:rPr>
          <w:rFonts w:eastAsia="Times New Roman"/>
          <w:szCs w:val="24"/>
          <w:vertAlign w:val="superscript"/>
        </w:rPr>
        <w:t>b</w:t>
      </w:r>
      <w:r w:rsidR="00CC12E9">
        <w:rPr>
          <w:rFonts w:eastAsia="Times New Roman"/>
          <w:szCs w:val="24"/>
        </w:rPr>
        <w:t xml:space="preserve"> employee demographic.</w:t>
      </w:r>
    </w:p>
    <w:p w14:paraId="7E5E3C8A" w14:textId="77777777" w:rsidR="000474F8" w:rsidRDefault="000474F8" w:rsidP="000474F8">
      <w:pPr>
        <w:rPr>
          <w:rFonts w:eastAsia="Times New Roman"/>
          <w:i/>
          <w:szCs w:val="24"/>
        </w:rPr>
      </w:pPr>
      <w:r w:rsidRPr="00530D76">
        <w:rPr>
          <w:rFonts w:eastAsia="Times New Roman"/>
          <w:szCs w:val="24"/>
        </w:rPr>
        <w:t>SBLM</w:t>
      </w:r>
      <w:r>
        <w:rPr>
          <w:rFonts w:eastAsia="Times New Roman"/>
          <w:i/>
          <w:szCs w:val="24"/>
        </w:rPr>
        <w:t xml:space="preserve"> </w:t>
      </w:r>
      <w:r w:rsidRPr="00530D76">
        <w:rPr>
          <w:rFonts w:eastAsia="Times New Roman"/>
          <w:szCs w:val="24"/>
        </w:rPr>
        <w:t>= supervisor bottom-line mentality</w:t>
      </w:r>
      <w:r>
        <w:rPr>
          <w:rFonts w:eastAsia="Times New Roman"/>
          <w:i/>
          <w:szCs w:val="24"/>
        </w:rPr>
        <w:t xml:space="preserve">. </w:t>
      </w:r>
      <w:r w:rsidRPr="00530D76">
        <w:rPr>
          <w:rFonts w:eastAsia="Times New Roman"/>
          <w:szCs w:val="24"/>
        </w:rPr>
        <w:t>EBLM</w:t>
      </w:r>
      <w:r>
        <w:rPr>
          <w:rFonts w:eastAsia="Times New Roman"/>
          <w:i/>
          <w:szCs w:val="24"/>
        </w:rPr>
        <w:t xml:space="preserve"> </w:t>
      </w:r>
      <w:r w:rsidRPr="00530D76">
        <w:rPr>
          <w:rFonts w:eastAsia="Times New Roman"/>
          <w:szCs w:val="24"/>
        </w:rPr>
        <w:t>= employee bottom-line mentality</w:t>
      </w:r>
      <w:r>
        <w:rPr>
          <w:rFonts w:eastAsia="Times New Roman"/>
          <w:szCs w:val="24"/>
        </w:rPr>
        <w:t>.</w:t>
      </w:r>
    </w:p>
    <w:p w14:paraId="01624A60" w14:textId="77777777" w:rsidR="000474F8" w:rsidRDefault="000474F8" w:rsidP="000474F8">
      <w:pPr>
        <w:rPr>
          <w:rFonts w:eastAsia="Times New Roman"/>
          <w:szCs w:val="24"/>
          <w:vertAlign w:val="superscript"/>
        </w:rPr>
      </w:pPr>
      <w:r>
        <w:rPr>
          <w:rFonts w:eastAsia="Times New Roman"/>
          <w:szCs w:val="24"/>
        </w:rPr>
        <w:t>Bootstrapped estimates for the standard error are shown.</w:t>
      </w:r>
    </w:p>
    <w:p w14:paraId="4EAB5248" w14:textId="13185106" w:rsidR="000474F8" w:rsidRDefault="000474F8" w:rsidP="000474F8">
      <w:pPr>
        <w:spacing w:line="480" w:lineRule="auto"/>
        <w:rPr>
          <w:szCs w:val="24"/>
        </w:rPr>
      </w:pPr>
      <w:r w:rsidRPr="003A4D97">
        <w:rPr>
          <w:szCs w:val="24"/>
          <w:vertAlign w:val="superscript"/>
        </w:rPr>
        <w:t>***</w:t>
      </w:r>
      <w:r>
        <w:rPr>
          <w:szCs w:val="24"/>
        </w:rPr>
        <w:t xml:space="preserve"> </w:t>
      </w:r>
      <w:r w:rsidRPr="003A4D97">
        <w:rPr>
          <w:i/>
          <w:szCs w:val="24"/>
        </w:rPr>
        <w:t>p</w:t>
      </w:r>
      <w:r>
        <w:rPr>
          <w:szCs w:val="24"/>
        </w:rPr>
        <w:t xml:space="preserve"> &lt; .001, </w:t>
      </w:r>
      <w:r w:rsidRPr="003A4D97">
        <w:rPr>
          <w:szCs w:val="24"/>
          <w:vertAlign w:val="superscript"/>
        </w:rPr>
        <w:t>**</w:t>
      </w:r>
      <w:r>
        <w:rPr>
          <w:szCs w:val="24"/>
          <w:vertAlign w:val="superscript"/>
        </w:rPr>
        <w:t xml:space="preserve"> </w:t>
      </w:r>
      <w:r w:rsidRPr="003A4D97">
        <w:rPr>
          <w:i/>
          <w:szCs w:val="24"/>
        </w:rPr>
        <w:t>p</w:t>
      </w:r>
      <w:r>
        <w:rPr>
          <w:szCs w:val="24"/>
        </w:rPr>
        <w:t xml:space="preserve"> &lt; .01, </w:t>
      </w:r>
      <w:r w:rsidRPr="003A4D97">
        <w:rPr>
          <w:szCs w:val="24"/>
          <w:vertAlign w:val="superscript"/>
        </w:rPr>
        <w:t>*</w:t>
      </w:r>
      <w:r>
        <w:rPr>
          <w:szCs w:val="24"/>
          <w:vertAlign w:val="superscript"/>
        </w:rPr>
        <w:t xml:space="preserve"> </w:t>
      </w:r>
      <w:r w:rsidRPr="003A4D97">
        <w:rPr>
          <w:i/>
          <w:szCs w:val="24"/>
        </w:rPr>
        <w:t>p</w:t>
      </w:r>
      <w:r>
        <w:rPr>
          <w:szCs w:val="24"/>
        </w:rPr>
        <w:t xml:space="preserve"> &lt; .05.</w:t>
      </w:r>
    </w:p>
    <w:p w14:paraId="26E902FC" w14:textId="5424530A" w:rsidR="00CC12E9" w:rsidRDefault="00CC12E9">
      <w:pPr>
        <w:rPr>
          <w:szCs w:val="24"/>
        </w:rPr>
      </w:pPr>
      <w:r>
        <w:rPr>
          <w:szCs w:val="24"/>
        </w:rPr>
        <w:br w:type="page"/>
      </w:r>
    </w:p>
    <w:p w14:paraId="526497E4" w14:textId="47E23954" w:rsidR="002E56B6" w:rsidRPr="00DC2721" w:rsidRDefault="002E56B6" w:rsidP="002E56B6">
      <w:pPr>
        <w:spacing w:line="480" w:lineRule="auto"/>
        <w:ind w:left="720" w:hanging="720"/>
        <w:contextualSpacing/>
        <w:rPr>
          <w:szCs w:val="24"/>
        </w:rPr>
      </w:pPr>
      <w:r w:rsidRPr="00DC2721">
        <w:rPr>
          <w:szCs w:val="24"/>
        </w:rPr>
        <w:lastRenderedPageBreak/>
        <w:t xml:space="preserve">Table </w:t>
      </w:r>
      <w:r w:rsidR="00A6493D">
        <w:rPr>
          <w:szCs w:val="24"/>
        </w:rPr>
        <w:t>4</w:t>
      </w:r>
    </w:p>
    <w:p w14:paraId="7823D8C5" w14:textId="4EE28A64" w:rsidR="002E56B6" w:rsidRPr="00DC2721" w:rsidRDefault="002E56B6" w:rsidP="002E56B6">
      <w:pPr>
        <w:spacing w:line="480" w:lineRule="auto"/>
        <w:ind w:left="720" w:hanging="720"/>
        <w:contextualSpacing/>
        <w:rPr>
          <w:i/>
          <w:szCs w:val="24"/>
        </w:rPr>
      </w:pPr>
      <w:r w:rsidRPr="00DC2721">
        <w:rPr>
          <w:i/>
          <w:szCs w:val="24"/>
        </w:rPr>
        <w:t>Study 2 – Descriptive Statistics, Reliability Estimates, and Study Variable Intercorrelations</w:t>
      </w:r>
    </w:p>
    <w:tbl>
      <w:tblPr>
        <w:tblW w:w="7902" w:type="dxa"/>
        <w:tblLayout w:type="fixed"/>
        <w:tblLook w:val="04A0" w:firstRow="1" w:lastRow="0" w:firstColumn="1" w:lastColumn="0" w:noHBand="0" w:noVBand="1"/>
      </w:tblPr>
      <w:tblGrid>
        <w:gridCol w:w="2700"/>
        <w:gridCol w:w="1056"/>
        <w:gridCol w:w="786"/>
        <w:gridCol w:w="839"/>
        <w:gridCol w:w="756"/>
        <w:gridCol w:w="899"/>
        <w:gridCol w:w="866"/>
      </w:tblGrid>
      <w:tr w:rsidR="00C91219" w:rsidRPr="00DC2721" w14:paraId="55772801" w14:textId="77777777" w:rsidTr="00C91219">
        <w:trPr>
          <w:trHeight w:val="315"/>
        </w:trPr>
        <w:tc>
          <w:tcPr>
            <w:tcW w:w="2700" w:type="dxa"/>
            <w:tcBorders>
              <w:top w:val="single" w:sz="4" w:space="0" w:color="auto"/>
              <w:left w:val="nil"/>
              <w:bottom w:val="single" w:sz="4" w:space="0" w:color="auto"/>
              <w:right w:val="nil"/>
            </w:tcBorders>
            <w:noWrap/>
            <w:vAlign w:val="bottom"/>
            <w:hideMark/>
          </w:tcPr>
          <w:p w14:paraId="124000B2" w14:textId="77777777" w:rsidR="00C91219" w:rsidRPr="00DC2721" w:rsidRDefault="00C91219" w:rsidP="002E56B6">
            <w:pPr>
              <w:spacing w:line="276" w:lineRule="auto"/>
              <w:jc w:val="center"/>
              <w:rPr>
                <w:rFonts w:eastAsia="Times New Roman"/>
                <w:color w:val="000000"/>
                <w:szCs w:val="24"/>
              </w:rPr>
            </w:pPr>
            <w:r w:rsidRPr="00DC2721">
              <w:rPr>
                <w:rFonts w:eastAsia="Times New Roman"/>
                <w:color w:val="000000"/>
                <w:szCs w:val="24"/>
              </w:rPr>
              <w:t>Variables</w:t>
            </w:r>
          </w:p>
        </w:tc>
        <w:tc>
          <w:tcPr>
            <w:tcW w:w="1056" w:type="dxa"/>
            <w:tcBorders>
              <w:top w:val="single" w:sz="4" w:space="0" w:color="auto"/>
              <w:left w:val="nil"/>
              <w:bottom w:val="single" w:sz="4" w:space="0" w:color="auto"/>
              <w:right w:val="nil"/>
            </w:tcBorders>
            <w:noWrap/>
            <w:vAlign w:val="bottom"/>
            <w:hideMark/>
          </w:tcPr>
          <w:p w14:paraId="3C675B58" w14:textId="77777777" w:rsidR="00C91219" w:rsidRPr="00DC2721" w:rsidRDefault="00C91219" w:rsidP="002E56B6">
            <w:pPr>
              <w:spacing w:line="276" w:lineRule="auto"/>
              <w:jc w:val="center"/>
              <w:rPr>
                <w:rFonts w:eastAsia="Times New Roman"/>
                <w:i/>
                <w:color w:val="000000"/>
                <w:szCs w:val="24"/>
              </w:rPr>
            </w:pPr>
            <w:r w:rsidRPr="00DC2721">
              <w:rPr>
                <w:rFonts w:eastAsia="Times New Roman"/>
                <w:i/>
                <w:color w:val="000000"/>
                <w:szCs w:val="24"/>
              </w:rPr>
              <w:t>Mean</w:t>
            </w:r>
          </w:p>
        </w:tc>
        <w:tc>
          <w:tcPr>
            <w:tcW w:w="786" w:type="dxa"/>
            <w:tcBorders>
              <w:top w:val="single" w:sz="4" w:space="0" w:color="auto"/>
              <w:left w:val="nil"/>
              <w:bottom w:val="single" w:sz="4" w:space="0" w:color="auto"/>
              <w:right w:val="nil"/>
            </w:tcBorders>
            <w:noWrap/>
            <w:vAlign w:val="bottom"/>
            <w:hideMark/>
          </w:tcPr>
          <w:p w14:paraId="64281F06" w14:textId="77777777" w:rsidR="00C91219" w:rsidRPr="00DC2721" w:rsidRDefault="00C91219" w:rsidP="002E56B6">
            <w:pPr>
              <w:spacing w:line="276" w:lineRule="auto"/>
              <w:jc w:val="center"/>
              <w:rPr>
                <w:rFonts w:eastAsia="Times New Roman"/>
                <w:i/>
                <w:color w:val="000000"/>
                <w:szCs w:val="24"/>
              </w:rPr>
            </w:pPr>
            <w:r w:rsidRPr="00DC2721">
              <w:rPr>
                <w:rFonts w:eastAsia="Times New Roman"/>
                <w:i/>
                <w:color w:val="000000"/>
                <w:szCs w:val="24"/>
              </w:rPr>
              <w:t>SD</w:t>
            </w:r>
          </w:p>
        </w:tc>
        <w:tc>
          <w:tcPr>
            <w:tcW w:w="839" w:type="dxa"/>
            <w:tcBorders>
              <w:top w:val="single" w:sz="4" w:space="0" w:color="auto"/>
              <w:left w:val="nil"/>
              <w:bottom w:val="single" w:sz="4" w:space="0" w:color="auto"/>
              <w:right w:val="nil"/>
            </w:tcBorders>
            <w:noWrap/>
            <w:vAlign w:val="bottom"/>
            <w:hideMark/>
          </w:tcPr>
          <w:p w14:paraId="723B2422" w14:textId="77777777" w:rsidR="00C91219" w:rsidRPr="00DC2721" w:rsidRDefault="00C91219" w:rsidP="002E56B6">
            <w:pPr>
              <w:spacing w:line="276" w:lineRule="auto"/>
              <w:jc w:val="center"/>
              <w:rPr>
                <w:rFonts w:eastAsia="Times New Roman"/>
                <w:color w:val="000000"/>
                <w:szCs w:val="24"/>
              </w:rPr>
            </w:pPr>
            <w:r w:rsidRPr="00DC2721">
              <w:rPr>
                <w:rFonts w:eastAsia="Times New Roman"/>
                <w:color w:val="000000"/>
                <w:szCs w:val="24"/>
              </w:rPr>
              <w:t>1</w:t>
            </w:r>
          </w:p>
        </w:tc>
        <w:tc>
          <w:tcPr>
            <w:tcW w:w="756" w:type="dxa"/>
            <w:tcBorders>
              <w:top w:val="single" w:sz="4" w:space="0" w:color="auto"/>
              <w:left w:val="nil"/>
              <w:bottom w:val="single" w:sz="4" w:space="0" w:color="auto"/>
              <w:right w:val="nil"/>
            </w:tcBorders>
            <w:noWrap/>
            <w:vAlign w:val="bottom"/>
            <w:hideMark/>
          </w:tcPr>
          <w:p w14:paraId="61E62F53" w14:textId="77777777" w:rsidR="00C91219" w:rsidRPr="00DC2721" w:rsidRDefault="00C91219" w:rsidP="002E56B6">
            <w:pPr>
              <w:spacing w:line="276" w:lineRule="auto"/>
              <w:jc w:val="center"/>
              <w:rPr>
                <w:rFonts w:eastAsia="Times New Roman"/>
                <w:color w:val="000000"/>
                <w:szCs w:val="24"/>
              </w:rPr>
            </w:pPr>
            <w:r w:rsidRPr="00DC2721">
              <w:rPr>
                <w:rFonts w:eastAsia="Times New Roman"/>
                <w:color w:val="000000"/>
                <w:szCs w:val="24"/>
              </w:rPr>
              <w:t>2</w:t>
            </w:r>
          </w:p>
        </w:tc>
        <w:tc>
          <w:tcPr>
            <w:tcW w:w="899" w:type="dxa"/>
            <w:tcBorders>
              <w:top w:val="single" w:sz="4" w:space="0" w:color="auto"/>
              <w:left w:val="nil"/>
              <w:bottom w:val="single" w:sz="4" w:space="0" w:color="auto"/>
              <w:right w:val="nil"/>
            </w:tcBorders>
            <w:noWrap/>
            <w:vAlign w:val="bottom"/>
            <w:hideMark/>
          </w:tcPr>
          <w:p w14:paraId="56B27079" w14:textId="77777777" w:rsidR="00C91219" w:rsidRPr="00DC2721" w:rsidRDefault="00C91219" w:rsidP="002E56B6">
            <w:pPr>
              <w:tabs>
                <w:tab w:val="decimal" w:pos="222"/>
              </w:tabs>
              <w:spacing w:line="276" w:lineRule="auto"/>
              <w:jc w:val="center"/>
              <w:rPr>
                <w:rFonts w:eastAsia="Times New Roman"/>
                <w:color w:val="000000"/>
                <w:szCs w:val="24"/>
              </w:rPr>
            </w:pPr>
            <w:r w:rsidRPr="00DC2721">
              <w:rPr>
                <w:rFonts w:eastAsia="Times New Roman"/>
                <w:color w:val="000000"/>
                <w:szCs w:val="24"/>
              </w:rPr>
              <w:t>3</w:t>
            </w:r>
          </w:p>
        </w:tc>
        <w:tc>
          <w:tcPr>
            <w:tcW w:w="866" w:type="dxa"/>
            <w:tcBorders>
              <w:top w:val="single" w:sz="4" w:space="0" w:color="auto"/>
              <w:left w:val="nil"/>
              <w:bottom w:val="single" w:sz="4" w:space="0" w:color="auto"/>
              <w:right w:val="nil"/>
            </w:tcBorders>
          </w:tcPr>
          <w:p w14:paraId="1691AC53" w14:textId="77777777" w:rsidR="00C91219" w:rsidRPr="00DC2721" w:rsidRDefault="00C91219" w:rsidP="002E56B6">
            <w:pPr>
              <w:spacing w:line="276" w:lineRule="auto"/>
              <w:jc w:val="center"/>
              <w:rPr>
                <w:rFonts w:eastAsia="Times New Roman"/>
                <w:color w:val="000000"/>
                <w:szCs w:val="24"/>
              </w:rPr>
            </w:pPr>
            <w:r w:rsidRPr="00DC2721">
              <w:rPr>
                <w:rFonts w:eastAsia="Times New Roman"/>
                <w:color w:val="000000"/>
                <w:szCs w:val="24"/>
              </w:rPr>
              <w:t>4</w:t>
            </w:r>
          </w:p>
        </w:tc>
      </w:tr>
      <w:tr w:rsidR="00C91219" w:rsidRPr="00DC2721" w14:paraId="0E5EB7B1" w14:textId="77777777" w:rsidTr="00C91219">
        <w:trPr>
          <w:trHeight w:val="315"/>
        </w:trPr>
        <w:tc>
          <w:tcPr>
            <w:tcW w:w="2700" w:type="dxa"/>
            <w:noWrap/>
            <w:vAlign w:val="bottom"/>
            <w:hideMark/>
          </w:tcPr>
          <w:p w14:paraId="574687D4" w14:textId="77777777" w:rsidR="00C91219" w:rsidRPr="00DC2721" w:rsidRDefault="00C91219" w:rsidP="002E56B6">
            <w:pPr>
              <w:spacing w:line="276" w:lineRule="auto"/>
              <w:rPr>
                <w:rFonts w:eastAsia="Times New Roman"/>
                <w:color w:val="000000"/>
                <w:szCs w:val="24"/>
              </w:rPr>
            </w:pPr>
            <w:r w:rsidRPr="00DC2721">
              <w:rPr>
                <w:rFonts w:eastAsia="Times New Roman"/>
                <w:color w:val="000000"/>
                <w:szCs w:val="24"/>
              </w:rPr>
              <w:t>1. Supervisor BLM</w:t>
            </w:r>
          </w:p>
        </w:tc>
        <w:tc>
          <w:tcPr>
            <w:tcW w:w="1056" w:type="dxa"/>
            <w:noWrap/>
            <w:vAlign w:val="bottom"/>
            <w:hideMark/>
          </w:tcPr>
          <w:p w14:paraId="47D5A535" w14:textId="11E2EE15" w:rsidR="00C91219" w:rsidRPr="00DC2721" w:rsidRDefault="00C91219" w:rsidP="002E56B6">
            <w:pPr>
              <w:tabs>
                <w:tab w:val="decimal" w:pos="255"/>
              </w:tabs>
              <w:spacing w:line="276" w:lineRule="auto"/>
              <w:jc w:val="center"/>
              <w:rPr>
                <w:rFonts w:eastAsia="Times New Roman"/>
                <w:color w:val="000000"/>
                <w:szCs w:val="24"/>
              </w:rPr>
            </w:pPr>
            <w:r w:rsidRPr="00DC2721">
              <w:rPr>
                <w:rFonts w:eastAsia="Times New Roman"/>
                <w:color w:val="000000"/>
                <w:szCs w:val="24"/>
              </w:rPr>
              <w:t>2.80</w:t>
            </w:r>
          </w:p>
        </w:tc>
        <w:tc>
          <w:tcPr>
            <w:tcW w:w="786" w:type="dxa"/>
            <w:noWrap/>
            <w:vAlign w:val="bottom"/>
            <w:hideMark/>
          </w:tcPr>
          <w:p w14:paraId="6A2FD03F" w14:textId="5274A9A6" w:rsidR="00C91219" w:rsidRPr="00DC2721" w:rsidRDefault="00C91219" w:rsidP="002E56B6">
            <w:pPr>
              <w:tabs>
                <w:tab w:val="decimal" w:pos="270"/>
              </w:tabs>
              <w:spacing w:line="276" w:lineRule="auto"/>
              <w:rPr>
                <w:rFonts w:eastAsia="Times New Roman"/>
                <w:color w:val="000000"/>
                <w:szCs w:val="24"/>
              </w:rPr>
            </w:pPr>
            <w:r w:rsidRPr="00DC2721">
              <w:rPr>
                <w:rFonts w:eastAsia="Times New Roman"/>
                <w:color w:val="000000"/>
                <w:szCs w:val="24"/>
              </w:rPr>
              <w:t>1.27</w:t>
            </w:r>
          </w:p>
        </w:tc>
        <w:tc>
          <w:tcPr>
            <w:tcW w:w="839" w:type="dxa"/>
            <w:noWrap/>
            <w:vAlign w:val="bottom"/>
            <w:hideMark/>
          </w:tcPr>
          <w:p w14:paraId="4754F39A" w14:textId="086346DA" w:rsidR="00C91219" w:rsidRPr="00DC2721" w:rsidRDefault="00C91219" w:rsidP="002E56B6">
            <w:pPr>
              <w:tabs>
                <w:tab w:val="decimal" w:pos="162"/>
              </w:tabs>
              <w:spacing w:line="276" w:lineRule="auto"/>
              <w:rPr>
                <w:rFonts w:eastAsia="Times New Roman"/>
                <w:color w:val="000000"/>
                <w:szCs w:val="24"/>
              </w:rPr>
            </w:pPr>
            <w:r w:rsidRPr="00DC2721">
              <w:rPr>
                <w:rFonts w:eastAsia="Times New Roman"/>
                <w:color w:val="000000"/>
                <w:szCs w:val="24"/>
              </w:rPr>
              <w:t>(.</w:t>
            </w:r>
            <w:r>
              <w:rPr>
                <w:rFonts w:eastAsia="Times New Roman"/>
                <w:color w:val="000000"/>
                <w:szCs w:val="24"/>
              </w:rPr>
              <w:t>83</w:t>
            </w:r>
            <w:r w:rsidRPr="00DC2721">
              <w:rPr>
                <w:rFonts w:eastAsia="Times New Roman"/>
                <w:color w:val="000000"/>
                <w:szCs w:val="24"/>
              </w:rPr>
              <w:t>)</w:t>
            </w:r>
          </w:p>
        </w:tc>
        <w:tc>
          <w:tcPr>
            <w:tcW w:w="756" w:type="dxa"/>
            <w:noWrap/>
            <w:vAlign w:val="center"/>
            <w:hideMark/>
          </w:tcPr>
          <w:p w14:paraId="2112384F" w14:textId="77777777" w:rsidR="00C91219" w:rsidRPr="00DC2721" w:rsidRDefault="00C91219" w:rsidP="002E56B6">
            <w:pPr>
              <w:tabs>
                <w:tab w:val="decimal" w:pos="160"/>
              </w:tabs>
              <w:spacing w:line="276" w:lineRule="auto"/>
              <w:rPr>
                <w:rFonts w:asciiTheme="minorHAnsi" w:hAnsiTheme="minorHAnsi"/>
                <w:sz w:val="22"/>
              </w:rPr>
            </w:pPr>
          </w:p>
        </w:tc>
        <w:tc>
          <w:tcPr>
            <w:tcW w:w="899" w:type="dxa"/>
            <w:noWrap/>
            <w:vAlign w:val="bottom"/>
            <w:hideMark/>
          </w:tcPr>
          <w:p w14:paraId="5306EE9D" w14:textId="77777777" w:rsidR="00C91219" w:rsidRPr="00DC2721" w:rsidRDefault="00C91219" w:rsidP="002E56B6">
            <w:pPr>
              <w:tabs>
                <w:tab w:val="decimal" w:pos="222"/>
              </w:tabs>
              <w:spacing w:line="276" w:lineRule="auto"/>
              <w:rPr>
                <w:rFonts w:asciiTheme="minorHAnsi" w:hAnsiTheme="minorHAnsi"/>
                <w:sz w:val="22"/>
              </w:rPr>
            </w:pPr>
          </w:p>
        </w:tc>
        <w:tc>
          <w:tcPr>
            <w:tcW w:w="866" w:type="dxa"/>
          </w:tcPr>
          <w:p w14:paraId="4BFCD48D" w14:textId="77777777" w:rsidR="00C91219" w:rsidRPr="00DC2721" w:rsidRDefault="00C91219" w:rsidP="002E56B6">
            <w:pPr>
              <w:spacing w:line="276" w:lineRule="auto"/>
              <w:rPr>
                <w:rFonts w:asciiTheme="minorHAnsi" w:hAnsiTheme="minorHAnsi"/>
                <w:sz w:val="22"/>
              </w:rPr>
            </w:pPr>
          </w:p>
        </w:tc>
      </w:tr>
      <w:tr w:rsidR="00C91219" w:rsidRPr="00DC2721" w14:paraId="218512C0" w14:textId="77777777" w:rsidTr="00C91219">
        <w:trPr>
          <w:trHeight w:val="315"/>
        </w:trPr>
        <w:tc>
          <w:tcPr>
            <w:tcW w:w="2700" w:type="dxa"/>
            <w:noWrap/>
            <w:vAlign w:val="bottom"/>
            <w:hideMark/>
          </w:tcPr>
          <w:p w14:paraId="62B9C722" w14:textId="77777777" w:rsidR="00C91219" w:rsidRPr="00DC2721" w:rsidRDefault="00C91219" w:rsidP="002E56B6">
            <w:pPr>
              <w:spacing w:line="276" w:lineRule="auto"/>
              <w:rPr>
                <w:rFonts w:eastAsia="Times New Roman"/>
                <w:color w:val="000000"/>
                <w:szCs w:val="24"/>
              </w:rPr>
            </w:pPr>
            <w:r w:rsidRPr="00DC2721">
              <w:rPr>
                <w:rFonts w:eastAsia="Times New Roman"/>
                <w:color w:val="000000"/>
                <w:szCs w:val="24"/>
              </w:rPr>
              <w:t>2. Employee BLM</w:t>
            </w:r>
          </w:p>
        </w:tc>
        <w:tc>
          <w:tcPr>
            <w:tcW w:w="1056" w:type="dxa"/>
            <w:noWrap/>
            <w:vAlign w:val="bottom"/>
            <w:hideMark/>
          </w:tcPr>
          <w:p w14:paraId="0C1953C9" w14:textId="600C923E" w:rsidR="00C91219" w:rsidRPr="00DC2721" w:rsidRDefault="00C91219" w:rsidP="002E56B6">
            <w:pPr>
              <w:tabs>
                <w:tab w:val="decimal" w:pos="255"/>
              </w:tabs>
              <w:spacing w:line="276" w:lineRule="auto"/>
              <w:jc w:val="center"/>
              <w:rPr>
                <w:rFonts w:eastAsia="Times New Roman"/>
                <w:color w:val="000000"/>
                <w:szCs w:val="24"/>
              </w:rPr>
            </w:pPr>
            <w:r w:rsidRPr="00DC2721">
              <w:rPr>
                <w:rFonts w:eastAsia="Times New Roman"/>
                <w:color w:val="000000"/>
                <w:szCs w:val="24"/>
              </w:rPr>
              <w:t>2.72</w:t>
            </w:r>
          </w:p>
        </w:tc>
        <w:tc>
          <w:tcPr>
            <w:tcW w:w="786" w:type="dxa"/>
            <w:noWrap/>
            <w:vAlign w:val="bottom"/>
            <w:hideMark/>
          </w:tcPr>
          <w:p w14:paraId="42AFFB85" w14:textId="18F8DA1C" w:rsidR="00C91219" w:rsidRPr="00DC2721" w:rsidRDefault="00C91219" w:rsidP="002E56B6">
            <w:pPr>
              <w:tabs>
                <w:tab w:val="decimal" w:pos="270"/>
              </w:tabs>
              <w:spacing w:line="276" w:lineRule="auto"/>
              <w:rPr>
                <w:rFonts w:eastAsia="Times New Roman"/>
                <w:color w:val="000000"/>
                <w:szCs w:val="24"/>
              </w:rPr>
            </w:pPr>
            <w:r w:rsidRPr="00DC2721">
              <w:rPr>
                <w:rFonts w:eastAsia="Times New Roman"/>
                <w:color w:val="000000"/>
                <w:szCs w:val="24"/>
              </w:rPr>
              <w:t>1.12</w:t>
            </w:r>
          </w:p>
        </w:tc>
        <w:tc>
          <w:tcPr>
            <w:tcW w:w="839" w:type="dxa"/>
            <w:noWrap/>
            <w:vAlign w:val="bottom"/>
            <w:hideMark/>
          </w:tcPr>
          <w:p w14:paraId="7450EB50" w14:textId="13E5BB19" w:rsidR="00C91219" w:rsidRPr="00DC2721" w:rsidRDefault="00C91219" w:rsidP="002E56B6">
            <w:pPr>
              <w:tabs>
                <w:tab w:val="decimal" w:pos="162"/>
              </w:tabs>
              <w:spacing w:line="276" w:lineRule="auto"/>
              <w:rPr>
                <w:rFonts w:eastAsia="Times New Roman"/>
                <w:color w:val="000000"/>
                <w:szCs w:val="24"/>
              </w:rPr>
            </w:pPr>
            <w:r w:rsidRPr="00DC2721">
              <w:rPr>
                <w:rFonts w:eastAsia="Times New Roman"/>
                <w:color w:val="000000"/>
                <w:szCs w:val="24"/>
              </w:rPr>
              <w:t>.75</w:t>
            </w:r>
            <w:r w:rsidRPr="00DC2721">
              <w:rPr>
                <w:rFonts w:eastAsia="Times New Roman"/>
                <w:color w:val="000000"/>
                <w:szCs w:val="24"/>
                <w:vertAlign w:val="superscript"/>
              </w:rPr>
              <w:t>**</w:t>
            </w:r>
          </w:p>
        </w:tc>
        <w:tc>
          <w:tcPr>
            <w:tcW w:w="756" w:type="dxa"/>
            <w:noWrap/>
            <w:vAlign w:val="center"/>
            <w:hideMark/>
          </w:tcPr>
          <w:p w14:paraId="5F605FA3" w14:textId="77777777" w:rsidR="00C91219" w:rsidRPr="00DC2721" w:rsidRDefault="00C91219" w:rsidP="002E56B6">
            <w:pPr>
              <w:tabs>
                <w:tab w:val="decimal" w:pos="160"/>
              </w:tabs>
              <w:spacing w:line="276" w:lineRule="auto"/>
              <w:rPr>
                <w:rFonts w:eastAsia="Times New Roman"/>
                <w:color w:val="000000"/>
                <w:szCs w:val="24"/>
              </w:rPr>
            </w:pPr>
            <w:r w:rsidRPr="00DC2721">
              <w:rPr>
                <w:rFonts w:eastAsia="Times New Roman"/>
                <w:color w:val="000000"/>
                <w:szCs w:val="24"/>
              </w:rPr>
              <w:t xml:space="preserve"> (.77)</w:t>
            </w:r>
          </w:p>
        </w:tc>
        <w:tc>
          <w:tcPr>
            <w:tcW w:w="899" w:type="dxa"/>
            <w:noWrap/>
            <w:vAlign w:val="bottom"/>
            <w:hideMark/>
          </w:tcPr>
          <w:p w14:paraId="0F41C88F" w14:textId="77777777" w:rsidR="00C91219" w:rsidRPr="00DC2721" w:rsidRDefault="00C91219" w:rsidP="002E56B6">
            <w:pPr>
              <w:tabs>
                <w:tab w:val="decimal" w:pos="222"/>
              </w:tabs>
              <w:spacing w:line="276" w:lineRule="auto"/>
              <w:rPr>
                <w:rFonts w:asciiTheme="minorHAnsi" w:hAnsiTheme="minorHAnsi"/>
                <w:sz w:val="22"/>
              </w:rPr>
            </w:pPr>
          </w:p>
        </w:tc>
        <w:tc>
          <w:tcPr>
            <w:tcW w:w="866" w:type="dxa"/>
          </w:tcPr>
          <w:p w14:paraId="69B7CF58" w14:textId="77777777" w:rsidR="00C91219" w:rsidRPr="00DC2721" w:rsidRDefault="00C91219" w:rsidP="002E56B6">
            <w:pPr>
              <w:spacing w:line="276" w:lineRule="auto"/>
              <w:rPr>
                <w:rFonts w:asciiTheme="minorHAnsi" w:hAnsiTheme="minorHAnsi"/>
                <w:sz w:val="22"/>
              </w:rPr>
            </w:pPr>
          </w:p>
        </w:tc>
      </w:tr>
      <w:tr w:rsidR="00C91219" w:rsidRPr="00DC2721" w14:paraId="5049E52D" w14:textId="77777777" w:rsidTr="00C91219">
        <w:trPr>
          <w:trHeight w:val="315"/>
        </w:trPr>
        <w:tc>
          <w:tcPr>
            <w:tcW w:w="2700" w:type="dxa"/>
            <w:noWrap/>
            <w:vAlign w:val="bottom"/>
            <w:hideMark/>
          </w:tcPr>
          <w:p w14:paraId="092D11EA" w14:textId="2F99DC4F" w:rsidR="00C91219" w:rsidRPr="00DC2721" w:rsidRDefault="00C91219" w:rsidP="002E56B6">
            <w:pPr>
              <w:spacing w:line="276" w:lineRule="auto"/>
              <w:rPr>
                <w:rFonts w:eastAsia="Times New Roman"/>
                <w:color w:val="000000"/>
                <w:szCs w:val="24"/>
              </w:rPr>
            </w:pPr>
            <w:r w:rsidRPr="00DC2721">
              <w:rPr>
                <w:rFonts w:eastAsia="Times New Roman"/>
                <w:color w:val="000000"/>
                <w:szCs w:val="24"/>
              </w:rPr>
              <w:t>3. LMSX</w:t>
            </w:r>
          </w:p>
        </w:tc>
        <w:tc>
          <w:tcPr>
            <w:tcW w:w="1056" w:type="dxa"/>
            <w:noWrap/>
            <w:vAlign w:val="bottom"/>
            <w:hideMark/>
          </w:tcPr>
          <w:p w14:paraId="21150066" w14:textId="5A88952B" w:rsidR="00C91219" w:rsidRPr="00DC2721" w:rsidRDefault="00C91219" w:rsidP="002E56B6">
            <w:pPr>
              <w:tabs>
                <w:tab w:val="decimal" w:pos="255"/>
              </w:tabs>
              <w:spacing w:line="276" w:lineRule="auto"/>
              <w:jc w:val="center"/>
              <w:rPr>
                <w:rFonts w:eastAsia="Times New Roman"/>
                <w:color w:val="000000"/>
                <w:szCs w:val="24"/>
              </w:rPr>
            </w:pPr>
            <w:r w:rsidRPr="00DC2721">
              <w:rPr>
                <w:rFonts w:eastAsia="Times New Roman"/>
                <w:color w:val="000000"/>
                <w:szCs w:val="24"/>
              </w:rPr>
              <w:t>5.68</w:t>
            </w:r>
          </w:p>
        </w:tc>
        <w:tc>
          <w:tcPr>
            <w:tcW w:w="786" w:type="dxa"/>
            <w:noWrap/>
            <w:vAlign w:val="bottom"/>
            <w:hideMark/>
          </w:tcPr>
          <w:p w14:paraId="3DBCF9FC" w14:textId="3DE688A4" w:rsidR="00C91219" w:rsidRPr="00DC2721" w:rsidRDefault="00C91219" w:rsidP="002E56B6">
            <w:pPr>
              <w:tabs>
                <w:tab w:val="decimal" w:pos="270"/>
              </w:tabs>
              <w:spacing w:line="276" w:lineRule="auto"/>
              <w:rPr>
                <w:rFonts w:eastAsia="Times New Roman"/>
                <w:color w:val="000000"/>
                <w:szCs w:val="24"/>
              </w:rPr>
            </w:pPr>
            <w:r w:rsidRPr="00DC2721">
              <w:rPr>
                <w:rFonts w:eastAsia="Times New Roman"/>
                <w:color w:val="000000"/>
                <w:szCs w:val="24"/>
              </w:rPr>
              <w:t>1.06</w:t>
            </w:r>
          </w:p>
        </w:tc>
        <w:tc>
          <w:tcPr>
            <w:tcW w:w="839" w:type="dxa"/>
            <w:noWrap/>
            <w:vAlign w:val="bottom"/>
            <w:hideMark/>
          </w:tcPr>
          <w:p w14:paraId="15CF037A" w14:textId="2253AF1E" w:rsidR="00C91219" w:rsidRPr="00DC2721" w:rsidRDefault="00C91219" w:rsidP="002E56B6">
            <w:pPr>
              <w:tabs>
                <w:tab w:val="decimal" w:pos="162"/>
              </w:tabs>
              <w:spacing w:line="276" w:lineRule="auto"/>
              <w:rPr>
                <w:rFonts w:eastAsia="Times New Roman"/>
                <w:color w:val="000000"/>
                <w:szCs w:val="24"/>
              </w:rPr>
            </w:pPr>
            <w:r w:rsidRPr="00DC2721">
              <w:rPr>
                <w:rFonts w:eastAsia="Times New Roman"/>
                <w:color w:val="000000"/>
                <w:szCs w:val="24"/>
              </w:rPr>
              <w:t xml:space="preserve"> -.19</w:t>
            </w:r>
            <w:r w:rsidRPr="00DC2721">
              <w:rPr>
                <w:rFonts w:eastAsia="Times New Roman"/>
                <w:color w:val="000000"/>
                <w:szCs w:val="24"/>
                <w:vertAlign w:val="superscript"/>
              </w:rPr>
              <w:t>**</w:t>
            </w:r>
          </w:p>
        </w:tc>
        <w:tc>
          <w:tcPr>
            <w:tcW w:w="756" w:type="dxa"/>
            <w:noWrap/>
            <w:vAlign w:val="center"/>
            <w:hideMark/>
          </w:tcPr>
          <w:p w14:paraId="41C52B5F" w14:textId="37736168" w:rsidR="00C91219" w:rsidRPr="00DC2721" w:rsidRDefault="00C91219" w:rsidP="002E56B6">
            <w:pPr>
              <w:tabs>
                <w:tab w:val="decimal" w:pos="160"/>
              </w:tabs>
              <w:spacing w:line="276" w:lineRule="auto"/>
              <w:rPr>
                <w:rFonts w:eastAsia="Times New Roman"/>
                <w:color w:val="000000"/>
                <w:szCs w:val="24"/>
              </w:rPr>
            </w:pPr>
            <w:r w:rsidRPr="00DC2721">
              <w:rPr>
                <w:rFonts w:eastAsia="Times New Roman"/>
                <w:color w:val="000000"/>
                <w:szCs w:val="24"/>
              </w:rPr>
              <w:t xml:space="preserve"> -.08</w:t>
            </w:r>
          </w:p>
        </w:tc>
        <w:tc>
          <w:tcPr>
            <w:tcW w:w="899" w:type="dxa"/>
            <w:noWrap/>
            <w:vAlign w:val="bottom"/>
            <w:hideMark/>
          </w:tcPr>
          <w:p w14:paraId="441DC35D" w14:textId="4F194C78" w:rsidR="00C91219" w:rsidRPr="00DC2721" w:rsidRDefault="00C91219" w:rsidP="002E56B6">
            <w:pPr>
              <w:tabs>
                <w:tab w:val="decimal" w:pos="222"/>
              </w:tabs>
              <w:spacing w:line="276" w:lineRule="auto"/>
              <w:rPr>
                <w:rFonts w:eastAsia="Times New Roman"/>
                <w:color w:val="000000"/>
                <w:szCs w:val="24"/>
              </w:rPr>
            </w:pPr>
            <w:r w:rsidRPr="00DC2721">
              <w:rPr>
                <w:rFonts w:eastAsia="Times New Roman"/>
                <w:color w:val="000000"/>
                <w:szCs w:val="24"/>
              </w:rPr>
              <w:t>(.9</w:t>
            </w:r>
            <w:r>
              <w:rPr>
                <w:rFonts w:eastAsia="Times New Roman"/>
                <w:color w:val="000000"/>
                <w:szCs w:val="24"/>
              </w:rPr>
              <w:t>3</w:t>
            </w:r>
            <w:r w:rsidRPr="00DC2721">
              <w:rPr>
                <w:rFonts w:eastAsia="Times New Roman"/>
                <w:color w:val="000000"/>
                <w:szCs w:val="24"/>
              </w:rPr>
              <w:t>)</w:t>
            </w:r>
          </w:p>
        </w:tc>
        <w:tc>
          <w:tcPr>
            <w:tcW w:w="866" w:type="dxa"/>
          </w:tcPr>
          <w:p w14:paraId="44DC972F" w14:textId="77777777" w:rsidR="00C91219" w:rsidRPr="00DC2721" w:rsidRDefault="00C91219" w:rsidP="002E56B6">
            <w:pPr>
              <w:spacing w:line="276" w:lineRule="auto"/>
              <w:rPr>
                <w:rFonts w:eastAsia="Times New Roman"/>
                <w:color w:val="000000"/>
                <w:szCs w:val="24"/>
              </w:rPr>
            </w:pPr>
          </w:p>
        </w:tc>
      </w:tr>
      <w:tr w:rsidR="00C91219" w:rsidRPr="00DC2721" w14:paraId="0315228F" w14:textId="77777777" w:rsidTr="00C91219">
        <w:trPr>
          <w:trHeight w:val="315"/>
        </w:trPr>
        <w:tc>
          <w:tcPr>
            <w:tcW w:w="2700" w:type="dxa"/>
            <w:tcBorders>
              <w:bottom w:val="single" w:sz="4" w:space="0" w:color="auto"/>
            </w:tcBorders>
            <w:noWrap/>
            <w:vAlign w:val="bottom"/>
          </w:tcPr>
          <w:p w14:paraId="3DE9D0FB" w14:textId="77777777" w:rsidR="00C91219" w:rsidRPr="00DC2721" w:rsidRDefault="00C91219" w:rsidP="002E56B6">
            <w:pPr>
              <w:spacing w:line="276" w:lineRule="auto"/>
              <w:rPr>
                <w:rFonts w:eastAsia="Times New Roman"/>
                <w:color w:val="000000"/>
                <w:szCs w:val="24"/>
              </w:rPr>
            </w:pPr>
            <w:r w:rsidRPr="00DC2721">
              <w:rPr>
                <w:rFonts w:eastAsia="Times New Roman"/>
                <w:color w:val="000000"/>
                <w:szCs w:val="24"/>
              </w:rPr>
              <w:t>4. Task performance</w:t>
            </w:r>
          </w:p>
        </w:tc>
        <w:tc>
          <w:tcPr>
            <w:tcW w:w="1056" w:type="dxa"/>
            <w:tcBorders>
              <w:bottom w:val="single" w:sz="4" w:space="0" w:color="auto"/>
            </w:tcBorders>
            <w:noWrap/>
            <w:vAlign w:val="bottom"/>
          </w:tcPr>
          <w:p w14:paraId="4E02FAA9" w14:textId="7D587744" w:rsidR="00C91219" w:rsidRPr="00DC2721" w:rsidRDefault="00C91219" w:rsidP="002E56B6">
            <w:pPr>
              <w:tabs>
                <w:tab w:val="decimal" w:pos="255"/>
              </w:tabs>
              <w:spacing w:line="276" w:lineRule="auto"/>
              <w:jc w:val="center"/>
              <w:rPr>
                <w:rFonts w:eastAsia="Times New Roman"/>
                <w:color w:val="000000"/>
                <w:szCs w:val="24"/>
              </w:rPr>
            </w:pPr>
            <w:r w:rsidRPr="00DC2721">
              <w:rPr>
                <w:rFonts w:eastAsia="Times New Roman"/>
                <w:color w:val="000000"/>
                <w:szCs w:val="24"/>
              </w:rPr>
              <w:t>6.18</w:t>
            </w:r>
          </w:p>
        </w:tc>
        <w:tc>
          <w:tcPr>
            <w:tcW w:w="786" w:type="dxa"/>
            <w:tcBorders>
              <w:bottom w:val="single" w:sz="4" w:space="0" w:color="auto"/>
            </w:tcBorders>
            <w:noWrap/>
            <w:vAlign w:val="bottom"/>
          </w:tcPr>
          <w:p w14:paraId="6356F830" w14:textId="4C4344E9" w:rsidR="00C91219" w:rsidRPr="00DC2721" w:rsidRDefault="00C91219" w:rsidP="002E56B6">
            <w:pPr>
              <w:tabs>
                <w:tab w:val="decimal" w:pos="270"/>
              </w:tabs>
              <w:spacing w:line="276" w:lineRule="auto"/>
              <w:rPr>
                <w:rFonts w:eastAsia="Times New Roman"/>
                <w:color w:val="000000"/>
                <w:szCs w:val="24"/>
              </w:rPr>
            </w:pPr>
            <w:r w:rsidRPr="00DC2721">
              <w:rPr>
                <w:rFonts w:eastAsia="Times New Roman"/>
                <w:color w:val="000000"/>
                <w:szCs w:val="24"/>
              </w:rPr>
              <w:t>0.79</w:t>
            </w:r>
          </w:p>
        </w:tc>
        <w:tc>
          <w:tcPr>
            <w:tcW w:w="839" w:type="dxa"/>
            <w:tcBorders>
              <w:bottom w:val="single" w:sz="4" w:space="0" w:color="auto"/>
            </w:tcBorders>
            <w:noWrap/>
            <w:vAlign w:val="bottom"/>
          </w:tcPr>
          <w:p w14:paraId="1A7C3EA1" w14:textId="067D6975" w:rsidR="00C91219" w:rsidRPr="00DC2721" w:rsidRDefault="00C91219" w:rsidP="002E56B6">
            <w:pPr>
              <w:tabs>
                <w:tab w:val="decimal" w:pos="162"/>
              </w:tabs>
              <w:spacing w:line="276" w:lineRule="auto"/>
              <w:rPr>
                <w:rFonts w:eastAsia="Times New Roman"/>
                <w:color w:val="000000"/>
                <w:szCs w:val="24"/>
              </w:rPr>
            </w:pPr>
            <w:r w:rsidRPr="00DC2721">
              <w:rPr>
                <w:rFonts w:eastAsia="Times New Roman"/>
                <w:color w:val="000000"/>
                <w:szCs w:val="24"/>
              </w:rPr>
              <w:t>-.09</w:t>
            </w:r>
          </w:p>
        </w:tc>
        <w:tc>
          <w:tcPr>
            <w:tcW w:w="756" w:type="dxa"/>
            <w:tcBorders>
              <w:bottom w:val="single" w:sz="4" w:space="0" w:color="auto"/>
            </w:tcBorders>
            <w:noWrap/>
            <w:vAlign w:val="center"/>
          </w:tcPr>
          <w:p w14:paraId="2B7B5D43" w14:textId="38128D51" w:rsidR="00C91219" w:rsidRPr="00DC2721" w:rsidRDefault="00C91219" w:rsidP="002E56B6">
            <w:pPr>
              <w:tabs>
                <w:tab w:val="decimal" w:pos="160"/>
              </w:tabs>
              <w:spacing w:line="276" w:lineRule="auto"/>
              <w:rPr>
                <w:rFonts w:eastAsia="Times New Roman"/>
                <w:color w:val="000000"/>
                <w:szCs w:val="24"/>
              </w:rPr>
            </w:pPr>
            <w:r w:rsidRPr="00DC2721">
              <w:rPr>
                <w:rFonts w:eastAsia="Times New Roman"/>
                <w:color w:val="000000"/>
                <w:szCs w:val="24"/>
              </w:rPr>
              <w:t xml:space="preserve"> .03</w:t>
            </w:r>
          </w:p>
        </w:tc>
        <w:tc>
          <w:tcPr>
            <w:tcW w:w="899" w:type="dxa"/>
            <w:tcBorders>
              <w:bottom w:val="single" w:sz="4" w:space="0" w:color="auto"/>
            </w:tcBorders>
            <w:noWrap/>
            <w:vAlign w:val="bottom"/>
          </w:tcPr>
          <w:p w14:paraId="36B5A4B6" w14:textId="68675322" w:rsidR="00C91219" w:rsidRPr="00DC2721" w:rsidRDefault="00C91219" w:rsidP="002E56B6">
            <w:pPr>
              <w:tabs>
                <w:tab w:val="decimal" w:pos="222"/>
              </w:tabs>
              <w:spacing w:line="276" w:lineRule="auto"/>
              <w:rPr>
                <w:rFonts w:eastAsia="Times New Roman"/>
                <w:color w:val="000000"/>
                <w:szCs w:val="24"/>
              </w:rPr>
            </w:pPr>
            <w:r w:rsidRPr="00DC2721">
              <w:rPr>
                <w:rFonts w:eastAsia="Times New Roman"/>
                <w:color w:val="000000"/>
                <w:szCs w:val="24"/>
              </w:rPr>
              <w:t>.26</w:t>
            </w:r>
            <w:r w:rsidRPr="00DC2721">
              <w:rPr>
                <w:rFonts w:eastAsia="Times New Roman"/>
                <w:color w:val="000000"/>
                <w:szCs w:val="24"/>
                <w:vertAlign w:val="superscript"/>
              </w:rPr>
              <w:t>**</w:t>
            </w:r>
          </w:p>
        </w:tc>
        <w:tc>
          <w:tcPr>
            <w:tcW w:w="866" w:type="dxa"/>
            <w:tcBorders>
              <w:bottom w:val="single" w:sz="4" w:space="0" w:color="auto"/>
            </w:tcBorders>
          </w:tcPr>
          <w:p w14:paraId="717CBDFE" w14:textId="05F5B4D8" w:rsidR="00C91219" w:rsidRPr="00DC2721" w:rsidRDefault="00C91219" w:rsidP="00DC2721">
            <w:pPr>
              <w:tabs>
                <w:tab w:val="decimal" w:pos="150"/>
              </w:tabs>
              <w:spacing w:line="276" w:lineRule="auto"/>
              <w:rPr>
                <w:rFonts w:eastAsia="Times New Roman"/>
                <w:color w:val="000000"/>
                <w:szCs w:val="24"/>
              </w:rPr>
            </w:pPr>
            <w:r w:rsidRPr="00DC2721">
              <w:rPr>
                <w:rFonts w:eastAsia="Times New Roman"/>
                <w:color w:val="000000"/>
                <w:szCs w:val="24"/>
              </w:rPr>
              <w:t>(.9</w:t>
            </w:r>
            <w:r>
              <w:rPr>
                <w:rFonts w:eastAsia="Times New Roman"/>
                <w:color w:val="000000"/>
                <w:szCs w:val="24"/>
              </w:rPr>
              <w:t>1</w:t>
            </w:r>
            <w:r w:rsidRPr="00DC2721">
              <w:rPr>
                <w:rFonts w:eastAsia="Times New Roman"/>
                <w:color w:val="000000"/>
                <w:szCs w:val="24"/>
              </w:rPr>
              <w:t>)</w:t>
            </w:r>
          </w:p>
        </w:tc>
      </w:tr>
    </w:tbl>
    <w:p w14:paraId="2C4B931C" w14:textId="688DCEA3" w:rsidR="002E56B6" w:rsidRPr="00DC2721" w:rsidRDefault="002E56B6" w:rsidP="002E56B6">
      <w:r w:rsidRPr="00DC2721">
        <w:rPr>
          <w:i/>
        </w:rPr>
        <w:t>Note</w:t>
      </w:r>
      <w:r w:rsidRPr="00DC2721">
        <w:t xml:space="preserve">. </w:t>
      </w:r>
      <w:r w:rsidRPr="00DC2721">
        <w:rPr>
          <w:i/>
        </w:rPr>
        <w:t>N</w:t>
      </w:r>
      <w:r w:rsidRPr="00DC2721">
        <w:t xml:space="preserve"> = </w:t>
      </w:r>
      <w:r w:rsidR="00DC2721" w:rsidRPr="00DC2721">
        <w:t>244</w:t>
      </w:r>
      <w:r w:rsidRPr="00DC2721">
        <w:t>. Cronbach’s alphas are shown on the diagonal.</w:t>
      </w:r>
    </w:p>
    <w:p w14:paraId="6A57605A" w14:textId="77777777" w:rsidR="002E56B6" w:rsidRPr="00DC2721" w:rsidRDefault="002E56B6" w:rsidP="002E56B6">
      <w:pPr>
        <w:rPr>
          <w:rFonts w:eastAsia="Times New Roman"/>
          <w:szCs w:val="24"/>
        </w:rPr>
      </w:pPr>
      <w:r w:rsidRPr="00DC2721">
        <w:rPr>
          <w:rFonts w:eastAsia="Times New Roman"/>
          <w:szCs w:val="24"/>
          <w:vertAlign w:val="superscript"/>
        </w:rPr>
        <w:t>a</w:t>
      </w:r>
      <w:r w:rsidRPr="00DC2721">
        <w:rPr>
          <w:rFonts w:eastAsia="Times New Roman"/>
          <w:szCs w:val="24"/>
        </w:rPr>
        <w:t xml:space="preserve"> employee demographic. </w:t>
      </w:r>
    </w:p>
    <w:p w14:paraId="35184BF7" w14:textId="77777777" w:rsidR="002E56B6" w:rsidRPr="00DC2721" w:rsidRDefault="002E56B6" w:rsidP="002E56B6">
      <w:r w:rsidRPr="00DC2721">
        <w:rPr>
          <w:vertAlign w:val="superscript"/>
        </w:rPr>
        <w:t>**</w:t>
      </w:r>
      <w:r w:rsidRPr="00DC2721">
        <w:t xml:space="preserve"> </w:t>
      </w:r>
      <w:r w:rsidRPr="00DC2721">
        <w:rPr>
          <w:i/>
        </w:rPr>
        <w:t>p</w:t>
      </w:r>
      <w:r w:rsidRPr="00DC2721">
        <w:t xml:space="preserve"> &lt; .01 (2-tailed), </w:t>
      </w:r>
      <w:r w:rsidRPr="00DC2721">
        <w:rPr>
          <w:vertAlign w:val="superscript"/>
        </w:rPr>
        <w:t>*</w:t>
      </w:r>
      <w:r w:rsidRPr="00DC2721">
        <w:t xml:space="preserve"> </w:t>
      </w:r>
      <w:r w:rsidRPr="00DC2721">
        <w:rPr>
          <w:i/>
        </w:rPr>
        <w:t>p</w:t>
      </w:r>
      <w:r w:rsidRPr="00DC2721">
        <w:t xml:space="preserve"> &lt; .05 (2-tailed).</w:t>
      </w:r>
    </w:p>
    <w:p w14:paraId="00271275" w14:textId="77777777" w:rsidR="002E56B6" w:rsidRPr="002E56B6" w:rsidRDefault="002E56B6" w:rsidP="002E56B6">
      <w:pPr>
        <w:rPr>
          <w:highlight w:val="yellow"/>
        </w:rPr>
      </w:pPr>
    </w:p>
    <w:p w14:paraId="75FBD02B" w14:textId="77777777" w:rsidR="002E56B6" w:rsidRPr="002E56B6" w:rsidRDefault="002E56B6" w:rsidP="002E56B6">
      <w:pPr>
        <w:rPr>
          <w:highlight w:val="yellow"/>
        </w:rPr>
      </w:pPr>
    </w:p>
    <w:p w14:paraId="586DEE44" w14:textId="77777777" w:rsidR="002E56B6" w:rsidRPr="002E56B6" w:rsidRDefault="002E56B6" w:rsidP="002E56B6">
      <w:pPr>
        <w:rPr>
          <w:highlight w:val="yellow"/>
        </w:rPr>
      </w:pPr>
    </w:p>
    <w:p w14:paraId="0C5A9D78" w14:textId="77777777" w:rsidR="002E56B6" w:rsidRPr="002E56B6" w:rsidRDefault="002E56B6" w:rsidP="002E56B6">
      <w:pPr>
        <w:rPr>
          <w:highlight w:val="yellow"/>
        </w:rPr>
      </w:pPr>
    </w:p>
    <w:p w14:paraId="0B57B440" w14:textId="77777777" w:rsidR="002E56B6" w:rsidRPr="002E56B6" w:rsidRDefault="002E56B6" w:rsidP="002E56B6">
      <w:pPr>
        <w:rPr>
          <w:szCs w:val="24"/>
          <w:highlight w:val="yellow"/>
        </w:rPr>
        <w:sectPr w:rsidR="002E56B6" w:rsidRPr="002E56B6" w:rsidSect="00CE1FC5">
          <w:headerReference w:type="default" r:id="rId11"/>
          <w:headerReference w:type="first" r:id="rId12"/>
          <w:pgSz w:w="12240" w:h="15840"/>
          <w:pgMar w:top="1440" w:right="1440" w:bottom="1440" w:left="1440" w:header="720" w:footer="720" w:gutter="0"/>
          <w:cols w:space="720"/>
          <w:titlePg/>
          <w:docGrid w:linePitch="326"/>
        </w:sectPr>
      </w:pPr>
    </w:p>
    <w:p w14:paraId="3EAAC2CF" w14:textId="299A6112" w:rsidR="002E56B6" w:rsidRPr="00DC2721" w:rsidRDefault="002E56B6" w:rsidP="002E56B6">
      <w:pPr>
        <w:spacing w:line="480" w:lineRule="auto"/>
        <w:rPr>
          <w:szCs w:val="24"/>
        </w:rPr>
      </w:pPr>
      <w:r w:rsidRPr="00DC2721">
        <w:rPr>
          <w:szCs w:val="24"/>
        </w:rPr>
        <w:lastRenderedPageBreak/>
        <w:t xml:space="preserve">Table </w:t>
      </w:r>
      <w:r w:rsidR="00A6493D">
        <w:rPr>
          <w:szCs w:val="24"/>
        </w:rPr>
        <w:t>5</w:t>
      </w:r>
    </w:p>
    <w:p w14:paraId="38004495" w14:textId="186C69C0" w:rsidR="002E56B6" w:rsidRPr="00DC2721" w:rsidRDefault="002E56B6" w:rsidP="002E56B6">
      <w:pPr>
        <w:rPr>
          <w:i/>
          <w:szCs w:val="24"/>
        </w:rPr>
      </w:pPr>
      <w:r w:rsidRPr="00DC2721">
        <w:rPr>
          <w:i/>
          <w:szCs w:val="24"/>
        </w:rPr>
        <w:t xml:space="preserve">Study </w:t>
      </w:r>
      <w:r w:rsidR="00DC2721" w:rsidRPr="00DC2721">
        <w:rPr>
          <w:i/>
          <w:szCs w:val="24"/>
        </w:rPr>
        <w:t>2</w:t>
      </w:r>
      <w:r w:rsidRPr="00DC2721">
        <w:rPr>
          <w:i/>
          <w:szCs w:val="24"/>
        </w:rPr>
        <w:t xml:space="preserve"> – Mediation Analyses using Hayes’ (2013) PROCESS Macro (Model 4)</w:t>
      </w:r>
    </w:p>
    <w:p w14:paraId="7D53E99B" w14:textId="77777777" w:rsidR="002E56B6" w:rsidRPr="00DC2721" w:rsidRDefault="002E56B6" w:rsidP="002E56B6">
      <w:pPr>
        <w:rPr>
          <w:szCs w:val="24"/>
        </w:rPr>
      </w:pPr>
    </w:p>
    <w:tbl>
      <w:tblPr>
        <w:tblW w:w="5286" w:type="dxa"/>
        <w:tblLook w:val="04A0" w:firstRow="1" w:lastRow="0" w:firstColumn="1" w:lastColumn="0" w:noHBand="0" w:noVBand="1"/>
      </w:tblPr>
      <w:tblGrid>
        <w:gridCol w:w="2430"/>
        <w:gridCol w:w="1176"/>
        <w:gridCol w:w="1680"/>
      </w:tblGrid>
      <w:tr w:rsidR="002E56B6" w:rsidRPr="00DC2721" w14:paraId="012A5A21" w14:textId="77777777" w:rsidTr="002E56B6">
        <w:trPr>
          <w:trHeight w:val="315"/>
        </w:trPr>
        <w:tc>
          <w:tcPr>
            <w:tcW w:w="2430" w:type="dxa"/>
            <w:tcBorders>
              <w:top w:val="single" w:sz="4" w:space="0" w:color="auto"/>
              <w:left w:val="nil"/>
              <w:bottom w:val="nil"/>
              <w:right w:val="nil"/>
            </w:tcBorders>
            <w:shd w:val="clear" w:color="auto" w:fill="auto"/>
            <w:noWrap/>
            <w:vAlign w:val="bottom"/>
            <w:hideMark/>
          </w:tcPr>
          <w:p w14:paraId="1735EB94" w14:textId="77777777" w:rsidR="002E56B6" w:rsidRPr="00DC2721" w:rsidRDefault="002E56B6" w:rsidP="002E56B6">
            <w:pPr>
              <w:rPr>
                <w:rFonts w:eastAsia="Times New Roman"/>
                <w:color w:val="000000"/>
                <w:szCs w:val="24"/>
              </w:rPr>
            </w:pPr>
            <w:r w:rsidRPr="00DC2721">
              <w:rPr>
                <w:rFonts w:eastAsia="Times New Roman"/>
                <w:color w:val="000000"/>
                <w:szCs w:val="24"/>
              </w:rPr>
              <w:t> </w:t>
            </w:r>
          </w:p>
        </w:tc>
        <w:tc>
          <w:tcPr>
            <w:tcW w:w="2856" w:type="dxa"/>
            <w:gridSpan w:val="2"/>
            <w:tcBorders>
              <w:top w:val="single" w:sz="4" w:space="0" w:color="auto"/>
              <w:left w:val="nil"/>
              <w:bottom w:val="single" w:sz="4" w:space="0" w:color="auto"/>
              <w:right w:val="nil"/>
            </w:tcBorders>
            <w:shd w:val="clear" w:color="auto" w:fill="auto"/>
            <w:noWrap/>
            <w:vAlign w:val="bottom"/>
            <w:hideMark/>
          </w:tcPr>
          <w:p w14:paraId="0A9B4172"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Mediator model</w:t>
            </w:r>
          </w:p>
        </w:tc>
      </w:tr>
      <w:tr w:rsidR="002E56B6" w:rsidRPr="00DC2721" w14:paraId="20BA34AF" w14:textId="77777777" w:rsidTr="002E56B6">
        <w:trPr>
          <w:trHeight w:val="315"/>
        </w:trPr>
        <w:tc>
          <w:tcPr>
            <w:tcW w:w="2430" w:type="dxa"/>
            <w:tcBorders>
              <w:top w:val="nil"/>
              <w:left w:val="nil"/>
              <w:bottom w:val="nil"/>
              <w:right w:val="nil"/>
            </w:tcBorders>
            <w:shd w:val="clear" w:color="auto" w:fill="auto"/>
            <w:noWrap/>
            <w:vAlign w:val="bottom"/>
            <w:hideMark/>
          </w:tcPr>
          <w:p w14:paraId="50D061CE" w14:textId="77777777" w:rsidR="002E56B6" w:rsidRPr="00DC2721" w:rsidRDefault="002E56B6" w:rsidP="002E56B6">
            <w:pPr>
              <w:jc w:val="center"/>
              <w:rPr>
                <w:rFonts w:eastAsia="Times New Roman"/>
                <w:color w:val="000000"/>
                <w:szCs w:val="24"/>
              </w:rPr>
            </w:pPr>
          </w:p>
        </w:tc>
        <w:tc>
          <w:tcPr>
            <w:tcW w:w="2856" w:type="dxa"/>
            <w:gridSpan w:val="2"/>
            <w:tcBorders>
              <w:top w:val="single" w:sz="4" w:space="0" w:color="auto"/>
              <w:left w:val="nil"/>
              <w:bottom w:val="single" w:sz="4" w:space="0" w:color="auto"/>
              <w:right w:val="nil"/>
            </w:tcBorders>
            <w:shd w:val="clear" w:color="auto" w:fill="auto"/>
            <w:noWrap/>
            <w:vAlign w:val="bottom"/>
            <w:hideMark/>
          </w:tcPr>
          <w:p w14:paraId="6544F00E" w14:textId="36DC0DF9" w:rsidR="002E56B6" w:rsidRPr="00DC2721" w:rsidRDefault="002E56B6" w:rsidP="002E56B6">
            <w:pPr>
              <w:jc w:val="center"/>
              <w:rPr>
                <w:rFonts w:eastAsia="Times New Roman"/>
                <w:color w:val="000000"/>
                <w:szCs w:val="24"/>
              </w:rPr>
            </w:pPr>
            <w:r w:rsidRPr="00DC2721">
              <w:rPr>
                <w:rFonts w:eastAsia="Times New Roman"/>
                <w:color w:val="000000"/>
                <w:szCs w:val="24"/>
              </w:rPr>
              <w:t>LM</w:t>
            </w:r>
            <w:r w:rsidR="00DC2721">
              <w:rPr>
                <w:rFonts w:eastAsia="Times New Roman"/>
                <w:color w:val="000000"/>
                <w:szCs w:val="24"/>
              </w:rPr>
              <w:t>S</w:t>
            </w:r>
            <w:r w:rsidRPr="00DC2721">
              <w:rPr>
                <w:rFonts w:eastAsia="Times New Roman"/>
                <w:color w:val="000000"/>
                <w:szCs w:val="24"/>
              </w:rPr>
              <w:t>X</w:t>
            </w:r>
          </w:p>
        </w:tc>
      </w:tr>
      <w:tr w:rsidR="002E56B6" w:rsidRPr="00DC2721" w14:paraId="6B5F8FA3" w14:textId="77777777" w:rsidTr="002E56B6">
        <w:trPr>
          <w:trHeight w:val="315"/>
        </w:trPr>
        <w:tc>
          <w:tcPr>
            <w:tcW w:w="2430" w:type="dxa"/>
            <w:tcBorders>
              <w:top w:val="nil"/>
              <w:left w:val="nil"/>
              <w:bottom w:val="single" w:sz="4" w:space="0" w:color="auto"/>
              <w:right w:val="nil"/>
            </w:tcBorders>
            <w:shd w:val="clear" w:color="auto" w:fill="auto"/>
            <w:noWrap/>
            <w:vAlign w:val="bottom"/>
            <w:hideMark/>
          </w:tcPr>
          <w:p w14:paraId="2283F11F" w14:textId="77777777" w:rsidR="002E56B6" w:rsidRPr="00DC2721" w:rsidRDefault="002E56B6" w:rsidP="002E56B6">
            <w:pPr>
              <w:rPr>
                <w:rFonts w:eastAsia="Times New Roman"/>
                <w:color w:val="000000"/>
                <w:szCs w:val="24"/>
              </w:rPr>
            </w:pPr>
            <w:r w:rsidRPr="00DC2721">
              <w:rPr>
                <w:rFonts w:eastAsia="Times New Roman"/>
                <w:color w:val="000000"/>
                <w:szCs w:val="24"/>
              </w:rPr>
              <w:t> </w:t>
            </w:r>
          </w:p>
        </w:tc>
        <w:tc>
          <w:tcPr>
            <w:tcW w:w="1176" w:type="dxa"/>
            <w:tcBorders>
              <w:top w:val="nil"/>
              <w:left w:val="nil"/>
              <w:bottom w:val="single" w:sz="4" w:space="0" w:color="auto"/>
              <w:right w:val="nil"/>
            </w:tcBorders>
            <w:shd w:val="clear" w:color="auto" w:fill="auto"/>
            <w:noWrap/>
            <w:vAlign w:val="bottom"/>
            <w:hideMark/>
          </w:tcPr>
          <w:p w14:paraId="3AC5FA0B" w14:textId="77777777" w:rsidR="002E56B6" w:rsidRPr="00DC2721" w:rsidRDefault="002E56B6" w:rsidP="002E56B6">
            <w:pPr>
              <w:jc w:val="center"/>
              <w:rPr>
                <w:rFonts w:eastAsia="Times New Roman"/>
                <w:i/>
                <w:iCs/>
                <w:color w:val="000000"/>
                <w:szCs w:val="24"/>
              </w:rPr>
            </w:pPr>
            <w:r w:rsidRPr="00DC2721">
              <w:rPr>
                <w:rFonts w:eastAsia="Times New Roman"/>
                <w:i/>
                <w:iCs/>
                <w:color w:val="000000"/>
                <w:szCs w:val="24"/>
              </w:rPr>
              <w:t>b</w:t>
            </w:r>
          </w:p>
        </w:tc>
        <w:tc>
          <w:tcPr>
            <w:tcW w:w="1680" w:type="dxa"/>
            <w:tcBorders>
              <w:top w:val="nil"/>
              <w:left w:val="nil"/>
              <w:bottom w:val="single" w:sz="4" w:space="0" w:color="auto"/>
              <w:right w:val="nil"/>
            </w:tcBorders>
            <w:shd w:val="clear" w:color="auto" w:fill="auto"/>
            <w:noWrap/>
            <w:vAlign w:val="bottom"/>
            <w:hideMark/>
          </w:tcPr>
          <w:p w14:paraId="58165249" w14:textId="77777777" w:rsidR="002E56B6" w:rsidRPr="00DC2721" w:rsidRDefault="002E56B6" w:rsidP="002E56B6">
            <w:pPr>
              <w:jc w:val="center"/>
              <w:rPr>
                <w:rFonts w:eastAsia="Times New Roman"/>
                <w:i/>
                <w:iCs/>
                <w:color w:val="000000"/>
                <w:szCs w:val="24"/>
              </w:rPr>
            </w:pPr>
            <w:r w:rsidRPr="00DC2721">
              <w:rPr>
                <w:rFonts w:eastAsia="Times New Roman"/>
                <w:i/>
                <w:iCs/>
                <w:color w:val="000000"/>
                <w:szCs w:val="24"/>
              </w:rPr>
              <w:t>SE</w:t>
            </w:r>
          </w:p>
        </w:tc>
      </w:tr>
      <w:tr w:rsidR="002E56B6" w:rsidRPr="00DC2721" w14:paraId="643EDB73" w14:textId="77777777" w:rsidTr="00D224D7">
        <w:trPr>
          <w:trHeight w:val="315"/>
        </w:trPr>
        <w:tc>
          <w:tcPr>
            <w:tcW w:w="2430" w:type="dxa"/>
            <w:tcBorders>
              <w:top w:val="nil"/>
              <w:left w:val="nil"/>
              <w:right w:val="nil"/>
            </w:tcBorders>
            <w:shd w:val="clear" w:color="auto" w:fill="auto"/>
            <w:noWrap/>
            <w:vAlign w:val="bottom"/>
            <w:hideMark/>
          </w:tcPr>
          <w:p w14:paraId="4C16473E" w14:textId="77777777" w:rsidR="002E56B6" w:rsidRPr="00DC2721" w:rsidRDefault="002E56B6" w:rsidP="002E56B6">
            <w:pPr>
              <w:rPr>
                <w:rFonts w:eastAsia="Times New Roman"/>
                <w:color w:val="000000"/>
                <w:szCs w:val="24"/>
              </w:rPr>
            </w:pPr>
            <w:r w:rsidRPr="00DC2721">
              <w:rPr>
                <w:rFonts w:eastAsia="Times New Roman"/>
                <w:color w:val="000000"/>
                <w:szCs w:val="24"/>
              </w:rPr>
              <w:t>Constant</w:t>
            </w:r>
          </w:p>
        </w:tc>
        <w:tc>
          <w:tcPr>
            <w:tcW w:w="1176" w:type="dxa"/>
            <w:tcBorders>
              <w:top w:val="nil"/>
              <w:left w:val="nil"/>
              <w:right w:val="nil"/>
            </w:tcBorders>
            <w:shd w:val="clear" w:color="auto" w:fill="auto"/>
            <w:noWrap/>
            <w:vAlign w:val="bottom"/>
            <w:hideMark/>
          </w:tcPr>
          <w:p w14:paraId="0DB7E613" w14:textId="78EDD006" w:rsidR="002E56B6" w:rsidRPr="00DC2721" w:rsidRDefault="002E56B6" w:rsidP="002E56B6">
            <w:pPr>
              <w:tabs>
                <w:tab w:val="decimal" w:pos="420"/>
              </w:tabs>
              <w:rPr>
                <w:rFonts w:eastAsia="Times New Roman"/>
                <w:color w:val="000000"/>
                <w:szCs w:val="24"/>
              </w:rPr>
            </w:pPr>
            <w:r w:rsidRPr="00DC2721">
              <w:rPr>
                <w:rFonts w:eastAsia="Times New Roman"/>
                <w:color w:val="000000"/>
                <w:szCs w:val="24"/>
              </w:rPr>
              <w:t>6.</w:t>
            </w:r>
            <w:r w:rsidR="00D224D7">
              <w:rPr>
                <w:rFonts w:eastAsia="Times New Roman"/>
                <w:color w:val="000000"/>
                <w:szCs w:val="24"/>
              </w:rPr>
              <w:t>13</w:t>
            </w:r>
            <w:r w:rsidRPr="00DC2721">
              <w:rPr>
                <w:rFonts w:eastAsia="Times New Roman"/>
                <w:color w:val="000000"/>
                <w:szCs w:val="24"/>
                <w:vertAlign w:val="superscript"/>
              </w:rPr>
              <w:t>***</w:t>
            </w:r>
          </w:p>
        </w:tc>
        <w:tc>
          <w:tcPr>
            <w:tcW w:w="1680" w:type="dxa"/>
            <w:tcBorders>
              <w:top w:val="nil"/>
              <w:left w:val="nil"/>
              <w:right w:val="nil"/>
            </w:tcBorders>
            <w:shd w:val="clear" w:color="auto" w:fill="auto"/>
            <w:noWrap/>
            <w:vAlign w:val="bottom"/>
            <w:hideMark/>
          </w:tcPr>
          <w:p w14:paraId="6302247E" w14:textId="0A5E798A" w:rsidR="002E56B6" w:rsidRPr="00DC2721" w:rsidRDefault="002E56B6" w:rsidP="002E56B6">
            <w:pPr>
              <w:jc w:val="center"/>
              <w:rPr>
                <w:rFonts w:eastAsia="Times New Roman"/>
                <w:color w:val="000000"/>
                <w:szCs w:val="24"/>
              </w:rPr>
            </w:pPr>
            <w:r w:rsidRPr="00DC2721">
              <w:rPr>
                <w:rFonts w:eastAsia="Times New Roman"/>
                <w:color w:val="000000"/>
                <w:szCs w:val="24"/>
              </w:rPr>
              <w:t>0.</w:t>
            </w:r>
            <w:r w:rsidR="00D224D7">
              <w:rPr>
                <w:rFonts w:eastAsia="Times New Roman"/>
                <w:color w:val="000000"/>
                <w:szCs w:val="24"/>
              </w:rPr>
              <w:t>16</w:t>
            </w:r>
          </w:p>
        </w:tc>
      </w:tr>
      <w:tr w:rsidR="002E56B6" w:rsidRPr="00DC2721" w14:paraId="4E88E553" w14:textId="77777777" w:rsidTr="00D224D7">
        <w:trPr>
          <w:trHeight w:val="315"/>
        </w:trPr>
        <w:tc>
          <w:tcPr>
            <w:tcW w:w="2430" w:type="dxa"/>
            <w:tcBorders>
              <w:top w:val="nil"/>
              <w:left w:val="nil"/>
              <w:bottom w:val="single" w:sz="4" w:space="0" w:color="auto"/>
              <w:right w:val="nil"/>
            </w:tcBorders>
            <w:shd w:val="clear" w:color="auto" w:fill="auto"/>
            <w:noWrap/>
            <w:vAlign w:val="bottom"/>
            <w:hideMark/>
          </w:tcPr>
          <w:p w14:paraId="5A75B746" w14:textId="77777777" w:rsidR="002E56B6" w:rsidRPr="00DC2721" w:rsidRDefault="002E56B6" w:rsidP="002E56B6">
            <w:pPr>
              <w:rPr>
                <w:rFonts w:eastAsia="Times New Roman"/>
                <w:color w:val="000000"/>
                <w:szCs w:val="24"/>
              </w:rPr>
            </w:pPr>
            <w:r w:rsidRPr="00DC2721">
              <w:rPr>
                <w:rFonts w:eastAsia="Times New Roman"/>
                <w:color w:val="000000"/>
                <w:szCs w:val="24"/>
              </w:rPr>
              <w:t>Supervisor BLM</w:t>
            </w:r>
          </w:p>
        </w:tc>
        <w:tc>
          <w:tcPr>
            <w:tcW w:w="1176" w:type="dxa"/>
            <w:tcBorders>
              <w:top w:val="nil"/>
              <w:left w:val="nil"/>
              <w:bottom w:val="single" w:sz="4" w:space="0" w:color="auto"/>
              <w:right w:val="nil"/>
            </w:tcBorders>
            <w:shd w:val="clear" w:color="auto" w:fill="auto"/>
            <w:noWrap/>
            <w:vAlign w:val="bottom"/>
            <w:hideMark/>
          </w:tcPr>
          <w:p w14:paraId="7104D2DE" w14:textId="01DF1527" w:rsidR="002E56B6" w:rsidRPr="00DC2721" w:rsidRDefault="002E56B6" w:rsidP="002E56B6">
            <w:pPr>
              <w:tabs>
                <w:tab w:val="decimal" w:pos="420"/>
              </w:tabs>
              <w:rPr>
                <w:rFonts w:eastAsia="Times New Roman"/>
                <w:color w:val="000000"/>
                <w:szCs w:val="24"/>
              </w:rPr>
            </w:pPr>
            <w:r w:rsidRPr="00DC2721">
              <w:rPr>
                <w:rFonts w:eastAsia="Times New Roman"/>
                <w:color w:val="000000"/>
                <w:szCs w:val="24"/>
              </w:rPr>
              <w:t>-0.</w:t>
            </w:r>
            <w:r w:rsidR="00DC2721" w:rsidRPr="00DC2721">
              <w:rPr>
                <w:rFonts w:eastAsia="Times New Roman"/>
                <w:color w:val="000000"/>
                <w:szCs w:val="24"/>
              </w:rPr>
              <w:t>1</w:t>
            </w:r>
            <w:r w:rsidR="00D224D7">
              <w:rPr>
                <w:rFonts w:eastAsia="Times New Roman"/>
                <w:color w:val="000000"/>
                <w:szCs w:val="24"/>
              </w:rPr>
              <w:t>6</w:t>
            </w:r>
            <w:r w:rsidR="00D224D7" w:rsidRPr="00D224D7">
              <w:rPr>
                <w:rFonts w:eastAsia="Times New Roman"/>
                <w:color w:val="000000"/>
                <w:szCs w:val="24"/>
                <w:vertAlign w:val="superscript"/>
              </w:rPr>
              <w:t>*</w:t>
            </w:r>
            <w:r w:rsidRPr="00DC2721">
              <w:rPr>
                <w:rFonts w:eastAsia="Times New Roman"/>
                <w:color w:val="000000"/>
                <w:szCs w:val="24"/>
                <w:vertAlign w:val="superscript"/>
              </w:rPr>
              <w:t>*</w:t>
            </w:r>
          </w:p>
        </w:tc>
        <w:tc>
          <w:tcPr>
            <w:tcW w:w="1680" w:type="dxa"/>
            <w:tcBorders>
              <w:top w:val="nil"/>
              <w:left w:val="nil"/>
              <w:bottom w:val="single" w:sz="4" w:space="0" w:color="auto"/>
              <w:right w:val="nil"/>
            </w:tcBorders>
            <w:shd w:val="clear" w:color="auto" w:fill="auto"/>
            <w:noWrap/>
            <w:vAlign w:val="bottom"/>
            <w:hideMark/>
          </w:tcPr>
          <w:p w14:paraId="611A71B4"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0.05</w:t>
            </w:r>
          </w:p>
        </w:tc>
      </w:tr>
      <w:tr w:rsidR="002E56B6" w:rsidRPr="00DC2721" w14:paraId="2A8C878F" w14:textId="77777777" w:rsidTr="00D224D7">
        <w:trPr>
          <w:trHeight w:val="315"/>
        </w:trPr>
        <w:tc>
          <w:tcPr>
            <w:tcW w:w="2430" w:type="dxa"/>
            <w:tcBorders>
              <w:top w:val="single" w:sz="4" w:space="0" w:color="auto"/>
              <w:left w:val="nil"/>
              <w:bottom w:val="nil"/>
              <w:right w:val="nil"/>
            </w:tcBorders>
            <w:shd w:val="clear" w:color="auto" w:fill="auto"/>
            <w:noWrap/>
            <w:vAlign w:val="bottom"/>
            <w:hideMark/>
          </w:tcPr>
          <w:p w14:paraId="541C7B58" w14:textId="77777777" w:rsidR="002E56B6" w:rsidRPr="00DC2721" w:rsidRDefault="002E56B6" w:rsidP="002E56B6">
            <w:pPr>
              <w:jc w:val="center"/>
              <w:rPr>
                <w:rFonts w:eastAsia="Times New Roman"/>
                <w:color w:val="000000"/>
                <w:szCs w:val="24"/>
              </w:rPr>
            </w:pPr>
          </w:p>
        </w:tc>
        <w:tc>
          <w:tcPr>
            <w:tcW w:w="2856" w:type="dxa"/>
            <w:gridSpan w:val="2"/>
            <w:tcBorders>
              <w:top w:val="single" w:sz="4" w:space="0" w:color="auto"/>
              <w:left w:val="nil"/>
              <w:bottom w:val="single" w:sz="4" w:space="0" w:color="auto"/>
              <w:right w:val="nil"/>
            </w:tcBorders>
            <w:shd w:val="clear" w:color="auto" w:fill="auto"/>
            <w:noWrap/>
            <w:vAlign w:val="bottom"/>
            <w:hideMark/>
          </w:tcPr>
          <w:p w14:paraId="63B4CF96"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Dependent variable model</w:t>
            </w:r>
          </w:p>
        </w:tc>
      </w:tr>
      <w:tr w:rsidR="002E56B6" w:rsidRPr="00DC2721" w14:paraId="059A38DF" w14:textId="77777777" w:rsidTr="002E56B6">
        <w:trPr>
          <w:trHeight w:val="315"/>
        </w:trPr>
        <w:tc>
          <w:tcPr>
            <w:tcW w:w="2430" w:type="dxa"/>
            <w:tcBorders>
              <w:top w:val="nil"/>
              <w:left w:val="nil"/>
              <w:bottom w:val="nil"/>
              <w:right w:val="nil"/>
            </w:tcBorders>
            <w:shd w:val="clear" w:color="auto" w:fill="auto"/>
            <w:noWrap/>
            <w:vAlign w:val="bottom"/>
            <w:hideMark/>
          </w:tcPr>
          <w:p w14:paraId="6C393929" w14:textId="77777777" w:rsidR="002E56B6" w:rsidRPr="00DC2721" w:rsidRDefault="002E56B6" w:rsidP="002E56B6">
            <w:pPr>
              <w:jc w:val="center"/>
              <w:rPr>
                <w:rFonts w:eastAsia="Times New Roman"/>
                <w:color w:val="000000"/>
                <w:szCs w:val="24"/>
              </w:rPr>
            </w:pPr>
          </w:p>
        </w:tc>
        <w:tc>
          <w:tcPr>
            <w:tcW w:w="2856" w:type="dxa"/>
            <w:gridSpan w:val="2"/>
            <w:tcBorders>
              <w:top w:val="nil"/>
              <w:left w:val="nil"/>
              <w:bottom w:val="single" w:sz="4" w:space="0" w:color="auto"/>
              <w:right w:val="nil"/>
            </w:tcBorders>
            <w:shd w:val="clear" w:color="auto" w:fill="auto"/>
            <w:noWrap/>
            <w:vAlign w:val="bottom"/>
            <w:hideMark/>
          </w:tcPr>
          <w:p w14:paraId="6A52CD48"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Task performance</w:t>
            </w:r>
          </w:p>
        </w:tc>
      </w:tr>
      <w:tr w:rsidR="002E56B6" w:rsidRPr="00DC2721" w14:paraId="5DE98925" w14:textId="77777777" w:rsidTr="002E56B6">
        <w:trPr>
          <w:trHeight w:val="315"/>
        </w:trPr>
        <w:tc>
          <w:tcPr>
            <w:tcW w:w="2430" w:type="dxa"/>
            <w:tcBorders>
              <w:top w:val="nil"/>
              <w:left w:val="nil"/>
              <w:bottom w:val="single" w:sz="4" w:space="0" w:color="auto"/>
              <w:right w:val="nil"/>
            </w:tcBorders>
            <w:shd w:val="clear" w:color="auto" w:fill="auto"/>
            <w:noWrap/>
            <w:vAlign w:val="bottom"/>
            <w:hideMark/>
          </w:tcPr>
          <w:p w14:paraId="08848434" w14:textId="77777777" w:rsidR="002E56B6" w:rsidRPr="00DC2721" w:rsidRDefault="002E56B6" w:rsidP="002E56B6">
            <w:pPr>
              <w:rPr>
                <w:rFonts w:eastAsia="Times New Roman"/>
                <w:color w:val="000000"/>
                <w:szCs w:val="24"/>
              </w:rPr>
            </w:pPr>
            <w:r w:rsidRPr="00DC2721">
              <w:rPr>
                <w:rFonts w:eastAsia="Times New Roman"/>
                <w:color w:val="000000"/>
                <w:szCs w:val="24"/>
              </w:rPr>
              <w:t> </w:t>
            </w:r>
          </w:p>
        </w:tc>
        <w:tc>
          <w:tcPr>
            <w:tcW w:w="1176" w:type="dxa"/>
            <w:tcBorders>
              <w:top w:val="nil"/>
              <w:left w:val="nil"/>
              <w:bottom w:val="single" w:sz="4" w:space="0" w:color="auto"/>
              <w:right w:val="nil"/>
            </w:tcBorders>
            <w:shd w:val="clear" w:color="auto" w:fill="auto"/>
            <w:noWrap/>
            <w:vAlign w:val="bottom"/>
            <w:hideMark/>
          </w:tcPr>
          <w:p w14:paraId="5ED0736A" w14:textId="77777777" w:rsidR="002E56B6" w:rsidRPr="00DC2721" w:rsidRDefault="002E56B6" w:rsidP="002E56B6">
            <w:pPr>
              <w:jc w:val="center"/>
              <w:rPr>
                <w:rFonts w:eastAsia="Times New Roman"/>
                <w:i/>
                <w:iCs/>
                <w:color w:val="000000"/>
                <w:szCs w:val="24"/>
              </w:rPr>
            </w:pPr>
            <w:r w:rsidRPr="00DC2721">
              <w:rPr>
                <w:rFonts w:eastAsia="Times New Roman"/>
                <w:i/>
                <w:iCs/>
                <w:color w:val="000000"/>
                <w:szCs w:val="24"/>
              </w:rPr>
              <w:t>b</w:t>
            </w:r>
          </w:p>
        </w:tc>
        <w:tc>
          <w:tcPr>
            <w:tcW w:w="1680" w:type="dxa"/>
            <w:tcBorders>
              <w:top w:val="nil"/>
              <w:left w:val="nil"/>
              <w:bottom w:val="single" w:sz="4" w:space="0" w:color="auto"/>
              <w:right w:val="nil"/>
            </w:tcBorders>
            <w:shd w:val="clear" w:color="auto" w:fill="auto"/>
            <w:noWrap/>
            <w:vAlign w:val="bottom"/>
            <w:hideMark/>
          </w:tcPr>
          <w:p w14:paraId="7DE89002" w14:textId="77777777" w:rsidR="002E56B6" w:rsidRPr="00DC2721" w:rsidRDefault="002E56B6" w:rsidP="002E56B6">
            <w:pPr>
              <w:jc w:val="center"/>
              <w:rPr>
                <w:rFonts w:eastAsia="Times New Roman"/>
                <w:i/>
                <w:iCs/>
                <w:color w:val="000000"/>
                <w:szCs w:val="24"/>
              </w:rPr>
            </w:pPr>
            <w:r w:rsidRPr="00DC2721">
              <w:rPr>
                <w:rFonts w:eastAsia="Times New Roman"/>
                <w:i/>
                <w:iCs/>
                <w:color w:val="000000"/>
                <w:szCs w:val="24"/>
              </w:rPr>
              <w:t>SE</w:t>
            </w:r>
          </w:p>
        </w:tc>
      </w:tr>
      <w:tr w:rsidR="002E56B6" w:rsidRPr="00DC2721" w14:paraId="5C5F65CA" w14:textId="77777777" w:rsidTr="002E56B6">
        <w:trPr>
          <w:trHeight w:val="315"/>
        </w:trPr>
        <w:tc>
          <w:tcPr>
            <w:tcW w:w="2430" w:type="dxa"/>
            <w:tcBorders>
              <w:top w:val="nil"/>
              <w:left w:val="nil"/>
              <w:bottom w:val="nil"/>
              <w:right w:val="nil"/>
            </w:tcBorders>
            <w:shd w:val="clear" w:color="auto" w:fill="auto"/>
            <w:noWrap/>
            <w:vAlign w:val="bottom"/>
            <w:hideMark/>
          </w:tcPr>
          <w:p w14:paraId="633F4A59" w14:textId="77777777" w:rsidR="002E56B6" w:rsidRPr="00DC2721" w:rsidRDefault="002E56B6" w:rsidP="002E56B6">
            <w:pPr>
              <w:rPr>
                <w:rFonts w:eastAsia="Times New Roman"/>
                <w:color w:val="000000"/>
                <w:szCs w:val="24"/>
              </w:rPr>
            </w:pPr>
            <w:r w:rsidRPr="00DC2721">
              <w:rPr>
                <w:rFonts w:eastAsia="Times New Roman"/>
                <w:color w:val="000000"/>
                <w:szCs w:val="24"/>
              </w:rPr>
              <w:t>Constant</w:t>
            </w:r>
          </w:p>
        </w:tc>
        <w:tc>
          <w:tcPr>
            <w:tcW w:w="1176" w:type="dxa"/>
            <w:tcBorders>
              <w:top w:val="nil"/>
              <w:left w:val="nil"/>
              <w:bottom w:val="nil"/>
              <w:right w:val="nil"/>
            </w:tcBorders>
            <w:shd w:val="clear" w:color="auto" w:fill="auto"/>
            <w:noWrap/>
            <w:vAlign w:val="bottom"/>
            <w:hideMark/>
          </w:tcPr>
          <w:p w14:paraId="0E14267B" w14:textId="7B32B928" w:rsidR="002E56B6" w:rsidRPr="00DC2721" w:rsidRDefault="00D224D7" w:rsidP="002E56B6">
            <w:pPr>
              <w:tabs>
                <w:tab w:val="decimal" w:pos="420"/>
              </w:tabs>
              <w:rPr>
                <w:rFonts w:eastAsia="Times New Roman"/>
                <w:color w:val="000000"/>
                <w:szCs w:val="24"/>
              </w:rPr>
            </w:pPr>
            <w:r>
              <w:rPr>
                <w:rFonts w:eastAsia="Times New Roman"/>
                <w:color w:val="000000"/>
                <w:szCs w:val="24"/>
              </w:rPr>
              <w:t>5.21</w:t>
            </w:r>
            <w:r w:rsidR="002E56B6" w:rsidRPr="00DC2721">
              <w:rPr>
                <w:rFonts w:eastAsia="Times New Roman"/>
                <w:color w:val="000000"/>
                <w:szCs w:val="24"/>
                <w:vertAlign w:val="superscript"/>
              </w:rPr>
              <w:t>***</w:t>
            </w:r>
          </w:p>
        </w:tc>
        <w:tc>
          <w:tcPr>
            <w:tcW w:w="1680" w:type="dxa"/>
            <w:tcBorders>
              <w:top w:val="nil"/>
              <w:left w:val="nil"/>
              <w:bottom w:val="nil"/>
              <w:right w:val="nil"/>
            </w:tcBorders>
            <w:shd w:val="clear" w:color="auto" w:fill="auto"/>
            <w:noWrap/>
            <w:vAlign w:val="bottom"/>
            <w:hideMark/>
          </w:tcPr>
          <w:p w14:paraId="3614F09C" w14:textId="1D3E449D" w:rsidR="002E56B6" w:rsidRPr="00DC2721" w:rsidRDefault="002E56B6" w:rsidP="002E56B6">
            <w:pPr>
              <w:jc w:val="center"/>
              <w:rPr>
                <w:rFonts w:eastAsia="Times New Roman"/>
                <w:color w:val="000000"/>
                <w:szCs w:val="24"/>
              </w:rPr>
            </w:pPr>
            <w:r w:rsidRPr="00DC2721">
              <w:rPr>
                <w:rFonts w:eastAsia="Times New Roman"/>
                <w:color w:val="000000"/>
                <w:szCs w:val="24"/>
              </w:rPr>
              <w:t>0.</w:t>
            </w:r>
            <w:r w:rsidR="00DC2721" w:rsidRPr="00DC2721">
              <w:rPr>
                <w:rFonts w:eastAsia="Times New Roman"/>
                <w:color w:val="000000"/>
                <w:szCs w:val="24"/>
              </w:rPr>
              <w:t>3</w:t>
            </w:r>
            <w:r w:rsidR="00D224D7">
              <w:rPr>
                <w:rFonts w:eastAsia="Times New Roman"/>
                <w:color w:val="000000"/>
                <w:szCs w:val="24"/>
              </w:rPr>
              <w:t>1</w:t>
            </w:r>
          </w:p>
        </w:tc>
      </w:tr>
      <w:tr w:rsidR="002E56B6" w:rsidRPr="00DC2721" w14:paraId="265FF867" w14:textId="77777777" w:rsidTr="00D224D7">
        <w:trPr>
          <w:trHeight w:val="315"/>
        </w:trPr>
        <w:tc>
          <w:tcPr>
            <w:tcW w:w="2430" w:type="dxa"/>
            <w:tcBorders>
              <w:top w:val="nil"/>
              <w:left w:val="nil"/>
              <w:right w:val="nil"/>
            </w:tcBorders>
            <w:shd w:val="clear" w:color="auto" w:fill="auto"/>
            <w:noWrap/>
            <w:vAlign w:val="bottom"/>
            <w:hideMark/>
          </w:tcPr>
          <w:p w14:paraId="52D0DD69" w14:textId="77777777" w:rsidR="002E56B6" w:rsidRPr="00DC2721" w:rsidRDefault="002E56B6" w:rsidP="002E56B6">
            <w:pPr>
              <w:rPr>
                <w:rFonts w:eastAsia="Times New Roman"/>
                <w:color w:val="000000"/>
                <w:szCs w:val="24"/>
              </w:rPr>
            </w:pPr>
            <w:r w:rsidRPr="00DC2721">
              <w:rPr>
                <w:rFonts w:eastAsia="Times New Roman"/>
                <w:color w:val="000000"/>
                <w:szCs w:val="24"/>
              </w:rPr>
              <w:t>Supervisor BLM</w:t>
            </w:r>
          </w:p>
        </w:tc>
        <w:tc>
          <w:tcPr>
            <w:tcW w:w="1176" w:type="dxa"/>
            <w:tcBorders>
              <w:top w:val="nil"/>
              <w:left w:val="nil"/>
              <w:right w:val="nil"/>
            </w:tcBorders>
            <w:shd w:val="clear" w:color="auto" w:fill="auto"/>
            <w:noWrap/>
            <w:vAlign w:val="bottom"/>
            <w:hideMark/>
          </w:tcPr>
          <w:p w14:paraId="31CAD59E" w14:textId="750C3D8F" w:rsidR="002E56B6" w:rsidRPr="00DC2721" w:rsidRDefault="002E56B6" w:rsidP="002E56B6">
            <w:pPr>
              <w:tabs>
                <w:tab w:val="decimal" w:pos="420"/>
              </w:tabs>
              <w:rPr>
                <w:rFonts w:eastAsia="Times New Roman"/>
                <w:color w:val="000000"/>
                <w:szCs w:val="24"/>
              </w:rPr>
            </w:pPr>
            <w:r w:rsidRPr="00DC2721">
              <w:rPr>
                <w:rFonts w:eastAsia="Times New Roman"/>
                <w:color w:val="000000"/>
                <w:szCs w:val="24"/>
              </w:rPr>
              <w:t>-0.0</w:t>
            </w:r>
            <w:r w:rsidR="00D224D7">
              <w:rPr>
                <w:rFonts w:eastAsia="Times New Roman"/>
                <w:color w:val="000000"/>
                <w:szCs w:val="24"/>
              </w:rPr>
              <w:t>3</w:t>
            </w:r>
          </w:p>
        </w:tc>
        <w:tc>
          <w:tcPr>
            <w:tcW w:w="1680" w:type="dxa"/>
            <w:tcBorders>
              <w:top w:val="nil"/>
              <w:left w:val="nil"/>
              <w:right w:val="nil"/>
            </w:tcBorders>
            <w:shd w:val="clear" w:color="auto" w:fill="auto"/>
            <w:noWrap/>
            <w:vAlign w:val="bottom"/>
            <w:hideMark/>
          </w:tcPr>
          <w:p w14:paraId="4D71EB62" w14:textId="0424D06F" w:rsidR="002E56B6" w:rsidRPr="00DC2721" w:rsidRDefault="002E56B6" w:rsidP="002E56B6">
            <w:pPr>
              <w:jc w:val="center"/>
              <w:rPr>
                <w:rFonts w:eastAsia="Times New Roman"/>
                <w:color w:val="000000"/>
                <w:szCs w:val="24"/>
              </w:rPr>
            </w:pPr>
            <w:r w:rsidRPr="00DC2721">
              <w:rPr>
                <w:rFonts w:eastAsia="Times New Roman"/>
                <w:color w:val="000000"/>
                <w:szCs w:val="24"/>
              </w:rPr>
              <w:t>0.0</w:t>
            </w:r>
            <w:r w:rsidR="00D224D7">
              <w:rPr>
                <w:rFonts w:eastAsia="Times New Roman"/>
                <w:color w:val="000000"/>
                <w:szCs w:val="24"/>
              </w:rPr>
              <w:t>4</w:t>
            </w:r>
          </w:p>
        </w:tc>
      </w:tr>
      <w:tr w:rsidR="002E56B6" w:rsidRPr="00DC2721" w14:paraId="6D99BB8C" w14:textId="77777777" w:rsidTr="00D224D7">
        <w:trPr>
          <w:trHeight w:val="315"/>
        </w:trPr>
        <w:tc>
          <w:tcPr>
            <w:tcW w:w="2430" w:type="dxa"/>
            <w:tcBorders>
              <w:top w:val="nil"/>
              <w:left w:val="nil"/>
              <w:bottom w:val="single" w:sz="4" w:space="0" w:color="auto"/>
              <w:right w:val="nil"/>
            </w:tcBorders>
            <w:shd w:val="clear" w:color="auto" w:fill="auto"/>
            <w:noWrap/>
            <w:vAlign w:val="bottom"/>
            <w:hideMark/>
          </w:tcPr>
          <w:p w14:paraId="4AC94D2D" w14:textId="3310DA9B" w:rsidR="002E56B6" w:rsidRPr="00DC2721" w:rsidRDefault="002E56B6" w:rsidP="002E56B6">
            <w:pPr>
              <w:rPr>
                <w:rFonts w:eastAsia="Times New Roman"/>
                <w:color w:val="000000"/>
                <w:szCs w:val="24"/>
              </w:rPr>
            </w:pPr>
            <w:r w:rsidRPr="00DC2721">
              <w:rPr>
                <w:rFonts w:eastAsia="Times New Roman"/>
                <w:color w:val="000000"/>
                <w:szCs w:val="24"/>
              </w:rPr>
              <w:t>LM</w:t>
            </w:r>
            <w:r w:rsidR="00DC2721">
              <w:rPr>
                <w:rFonts w:eastAsia="Times New Roman"/>
                <w:color w:val="000000"/>
                <w:szCs w:val="24"/>
              </w:rPr>
              <w:t>S</w:t>
            </w:r>
            <w:r w:rsidRPr="00DC2721">
              <w:rPr>
                <w:rFonts w:eastAsia="Times New Roman"/>
                <w:color w:val="000000"/>
                <w:szCs w:val="24"/>
              </w:rPr>
              <w:t>X</w:t>
            </w:r>
          </w:p>
        </w:tc>
        <w:tc>
          <w:tcPr>
            <w:tcW w:w="1176" w:type="dxa"/>
            <w:tcBorders>
              <w:top w:val="nil"/>
              <w:left w:val="nil"/>
              <w:bottom w:val="single" w:sz="4" w:space="0" w:color="auto"/>
              <w:right w:val="nil"/>
            </w:tcBorders>
            <w:shd w:val="clear" w:color="auto" w:fill="auto"/>
            <w:noWrap/>
            <w:vAlign w:val="bottom"/>
            <w:hideMark/>
          </w:tcPr>
          <w:p w14:paraId="27A2954F" w14:textId="1261E721" w:rsidR="002E56B6" w:rsidRPr="00DC2721" w:rsidRDefault="002E56B6" w:rsidP="002E56B6">
            <w:pPr>
              <w:tabs>
                <w:tab w:val="decimal" w:pos="420"/>
              </w:tabs>
              <w:rPr>
                <w:rFonts w:eastAsia="Times New Roman"/>
                <w:color w:val="000000"/>
                <w:szCs w:val="24"/>
              </w:rPr>
            </w:pPr>
            <w:r w:rsidRPr="00DC2721">
              <w:rPr>
                <w:rFonts w:eastAsia="Times New Roman"/>
                <w:color w:val="000000"/>
                <w:szCs w:val="24"/>
              </w:rPr>
              <w:t>0.1</w:t>
            </w:r>
            <w:r w:rsidR="00D224D7">
              <w:rPr>
                <w:rFonts w:eastAsia="Times New Roman"/>
                <w:color w:val="000000"/>
                <w:szCs w:val="24"/>
              </w:rPr>
              <w:t>8</w:t>
            </w:r>
            <w:r w:rsidR="00DC2721" w:rsidRPr="00DC2721">
              <w:rPr>
                <w:rFonts w:eastAsia="Times New Roman"/>
                <w:color w:val="000000"/>
                <w:szCs w:val="24"/>
                <w:vertAlign w:val="superscript"/>
              </w:rPr>
              <w:t>**</w:t>
            </w:r>
            <w:r w:rsidRPr="00DC2721">
              <w:rPr>
                <w:rFonts w:eastAsia="Times New Roman"/>
                <w:color w:val="000000"/>
                <w:szCs w:val="24"/>
                <w:vertAlign w:val="superscript"/>
              </w:rPr>
              <w:t>*</w:t>
            </w:r>
          </w:p>
        </w:tc>
        <w:tc>
          <w:tcPr>
            <w:tcW w:w="1680" w:type="dxa"/>
            <w:tcBorders>
              <w:top w:val="nil"/>
              <w:left w:val="nil"/>
              <w:bottom w:val="single" w:sz="4" w:space="0" w:color="auto"/>
              <w:right w:val="nil"/>
            </w:tcBorders>
            <w:shd w:val="clear" w:color="auto" w:fill="auto"/>
            <w:noWrap/>
            <w:vAlign w:val="bottom"/>
            <w:hideMark/>
          </w:tcPr>
          <w:p w14:paraId="2346C900" w14:textId="0B22E0F0" w:rsidR="002E56B6" w:rsidRPr="00DC2721" w:rsidRDefault="002E56B6" w:rsidP="002E56B6">
            <w:pPr>
              <w:jc w:val="center"/>
              <w:rPr>
                <w:rFonts w:eastAsia="Times New Roman"/>
                <w:color w:val="000000"/>
                <w:szCs w:val="24"/>
              </w:rPr>
            </w:pPr>
            <w:r w:rsidRPr="00DC2721">
              <w:rPr>
                <w:rFonts w:eastAsia="Times New Roman"/>
                <w:color w:val="000000"/>
                <w:szCs w:val="24"/>
              </w:rPr>
              <w:t>0.0</w:t>
            </w:r>
            <w:r w:rsidR="00DC2721" w:rsidRPr="00DC2721">
              <w:rPr>
                <w:rFonts w:eastAsia="Times New Roman"/>
                <w:color w:val="000000"/>
                <w:szCs w:val="24"/>
              </w:rPr>
              <w:t>5</w:t>
            </w:r>
          </w:p>
        </w:tc>
      </w:tr>
      <w:tr w:rsidR="002E56B6" w:rsidRPr="00DC2721" w14:paraId="414C1C01" w14:textId="77777777" w:rsidTr="00D224D7">
        <w:trPr>
          <w:trHeight w:val="315"/>
        </w:trPr>
        <w:tc>
          <w:tcPr>
            <w:tcW w:w="2430" w:type="dxa"/>
            <w:tcBorders>
              <w:top w:val="single" w:sz="4" w:space="0" w:color="auto"/>
              <w:left w:val="nil"/>
              <w:bottom w:val="single" w:sz="4" w:space="0" w:color="auto"/>
              <w:right w:val="nil"/>
            </w:tcBorders>
            <w:shd w:val="clear" w:color="auto" w:fill="auto"/>
            <w:noWrap/>
            <w:vAlign w:val="bottom"/>
            <w:hideMark/>
          </w:tcPr>
          <w:p w14:paraId="6B8C432E" w14:textId="77777777" w:rsidR="002E56B6" w:rsidRPr="00DC2721" w:rsidRDefault="002E56B6" w:rsidP="002E56B6">
            <w:pPr>
              <w:rPr>
                <w:rFonts w:eastAsia="Times New Roman"/>
                <w:color w:val="000000"/>
                <w:szCs w:val="24"/>
              </w:rPr>
            </w:pPr>
            <w:r w:rsidRPr="00DC2721">
              <w:rPr>
                <w:rFonts w:eastAsia="Times New Roman"/>
                <w:color w:val="000000"/>
                <w:szCs w:val="24"/>
              </w:rPr>
              <w:t> </w:t>
            </w:r>
          </w:p>
        </w:tc>
        <w:tc>
          <w:tcPr>
            <w:tcW w:w="1176" w:type="dxa"/>
            <w:tcBorders>
              <w:top w:val="single" w:sz="4" w:space="0" w:color="auto"/>
              <w:left w:val="nil"/>
              <w:bottom w:val="single" w:sz="4" w:space="0" w:color="auto"/>
              <w:right w:val="nil"/>
            </w:tcBorders>
            <w:shd w:val="clear" w:color="auto" w:fill="auto"/>
            <w:noWrap/>
            <w:vAlign w:val="bottom"/>
            <w:hideMark/>
          </w:tcPr>
          <w:p w14:paraId="7EFA3BAF"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Effect</w:t>
            </w:r>
          </w:p>
        </w:tc>
        <w:tc>
          <w:tcPr>
            <w:tcW w:w="1680" w:type="dxa"/>
            <w:tcBorders>
              <w:top w:val="single" w:sz="4" w:space="0" w:color="auto"/>
              <w:left w:val="nil"/>
              <w:bottom w:val="single" w:sz="4" w:space="0" w:color="auto"/>
              <w:right w:val="nil"/>
            </w:tcBorders>
            <w:shd w:val="clear" w:color="auto" w:fill="auto"/>
            <w:noWrap/>
            <w:vAlign w:val="bottom"/>
            <w:hideMark/>
          </w:tcPr>
          <w:p w14:paraId="60D0B211"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CI</w:t>
            </w:r>
          </w:p>
        </w:tc>
      </w:tr>
      <w:tr w:rsidR="002E56B6" w:rsidRPr="00DC2721" w14:paraId="10E59902" w14:textId="77777777" w:rsidTr="002E56B6">
        <w:trPr>
          <w:trHeight w:val="315"/>
        </w:trPr>
        <w:tc>
          <w:tcPr>
            <w:tcW w:w="2430" w:type="dxa"/>
            <w:tcBorders>
              <w:top w:val="nil"/>
              <w:left w:val="nil"/>
              <w:bottom w:val="nil"/>
              <w:right w:val="nil"/>
            </w:tcBorders>
            <w:shd w:val="clear" w:color="auto" w:fill="auto"/>
            <w:noWrap/>
            <w:vAlign w:val="bottom"/>
            <w:hideMark/>
          </w:tcPr>
          <w:p w14:paraId="1FDB266F" w14:textId="77777777" w:rsidR="002E56B6" w:rsidRPr="00DC2721" w:rsidRDefault="002E56B6" w:rsidP="002E56B6">
            <w:pPr>
              <w:rPr>
                <w:rFonts w:eastAsia="Times New Roman"/>
                <w:color w:val="000000"/>
                <w:szCs w:val="24"/>
              </w:rPr>
            </w:pPr>
            <w:r w:rsidRPr="00DC2721">
              <w:rPr>
                <w:rFonts w:eastAsia="Times New Roman"/>
                <w:color w:val="000000"/>
                <w:szCs w:val="24"/>
              </w:rPr>
              <w:t>Direct effect</w:t>
            </w:r>
          </w:p>
        </w:tc>
        <w:tc>
          <w:tcPr>
            <w:tcW w:w="1176" w:type="dxa"/>
            <w:tcBorders>
              <w:top w:val="nil"/>
              <w:left w:val="nil"/>
              <w:bottom w:val="nil"/>
              <w:right w:val="nil"/>
            </w:tcBorders>
            <w:shd w:val="clear" w:color="auto" w:fill="auto"/>
            <w:noWrap/>
            <w:vAlign w:val="bottom"/>
            <w:hideMark/>
          </w:tcPr>
          <w:p w14:paraId="355E4286" w14:textId="700522D4" w:rsidR="002E56B6" w:rsidRPr="00DC2721" w:rsidRDefault="002E56B6" w:rsidP="002E56B6">
            <w:pPr>
              <w:tabs>
                <w:tab w:val="decimal" w:pos="420"/>
              </w:tabs>
              <w:rPr>
                <w:rFonts w:eastAsia="Times New Roman"/>
                <w:color w:val="000000"/>
                <w:szCs w:val="24"/>
              </w:rPr>
            </w:pPr>
            <w:r w:rsidRPr="00DC2721">
              <w:rPr>
                <w:rFonts w:eastAsia="Times New Roman"/>
                <w:color w:val="000000"/>
                <w:szCs w:val="24"/>
              </w:rPr>
              <w:t>-0.0</w:t>
            </w:r>
            <w:r w:rsidR="00D224D7">
              <w:rPr>
                <w:rFonts w:eastAsia="Times New Roman"/>
                <w:color w:val="000000"/>
                <w:szCs w:val="24"/>
              </w:rPr>
              <w:t>3</w:t>
            </w:r>
          </w:p>
        </w:tc>
        <w:tc>
          <w:tcPr>
            <w:tcW w:w="1680" w:type="dxa"/>
            <w:tcBorders>
              <w:top w:val="nil"/>
              <w:left w:val="nil"/>
              <w:bottom w:val="nil"/>
              <w:right w:val="nil"/>
            </w:tcBorders>
            <w:shd w:val="clear" w:color="auto" w:fill="auto"/>
            <w:noWrap/>
            <w:vAlign w:val="bottom"/>
            <w:hideMark/>
          </w:tcPr>
          <w:p w14:paraId="7C2ACC1E" w14:textId="24370E93" w:rsidR="002E56B6" w:rsidRPr="00DC2721" w:rsidRDefault="002E56B6" w:rsidP="002E56B6">
            <w:pPr>
              <w:jc w:val="right"/>
              <w:rPr>
                <w:rFonts w:eastAsia="Times New Roman"/>
                <w:color w:val="000000"/>
                <w:szCs w:val="24"/>
              </w:rPr>
            </w:pPr>
            <w:r w:rsidRPr="00DC2721">
              <w:rPr>
                <w:rFonts w:eastAsia="Times New Roman"/>
                <w:color w:val="000000"/>
                <w:szCs w:val="24"/>
              </w:rPr>
              <w:t>(-.</w:t>
            </w:r>
            <w:r w:rsidR="00D224D7">
              <w:rPr>
                <w:rFonts w:eastAsia="Times New Roman"/>
                <w:color w:val="000000"/>
                <w:szCs w:val="24"/>
              </w:rPr>
              <w:t>106</w:t>
            </w:r>
            <w:r w:rsidRPr="00DC2721">
              <w:rPr>
                <w:rFonts w:eastAsia="Times New Roman"/>
                <w:color w:val="000000"/>
                <w:szCs w:val="24"/>
              </w:rPr>
              <w:t>, .0</w:t>
            </w:r>
            <w:r w:rsidR="00D224D7">
              <w:rPr>
                <w:rFonts w:eastAsia="Times New Roman"/>
                <w:color w:val="000000"/>
                <w:szCs w:val="24"/>
              </w:rPr>
              <w:t>49</w:t>
            </w:r>
            <w:r w:rsidRPr="00DC2721">
              <w:rPr>
                <w:rFonts w:eastAsia="Times New Roman"/>
                <w:color w:val="000000"/>
                <w:szCs w:val="24"/>
              </w:rPr>
              <w:t>)</w:t>
            </w:r>
          </w:p>
        </w:tc>
      </w:tr>
      <w:tr w:rsidR="002E56B6" w:rsidRPr="00DC2721" w14:paraId="772426CB" w14:textId="77777777" w:rsidTr="002E56B6">
        <w:trPr>
          <w:trHeight w:val="315"/>
        </w:trPr>
        <w:tc>
          <w:tcPr>
            <w:tcW w:w="2430" w:type="dxa"/>
            <w:tcBorders>
              <w:top w:val="nil"/>
              <w:left w:val="nil"/>
              <w:bottom w:val="single" w:sz="4" w:space="0" w:color="auto"/>
              <w:right w:val="nil"/>
            </w:tcBorders>
            <w:shd w:val="clear" w:color="auto" w:fill="auto"/>
            <w:noWrap/>
            <w:vAlign w:val="bottom"/>
            <w:hideMark/>
          </w:tcPr>
          <w:p w14:paraId="532B89D0" w14:textId="77777777" w:rsidR="002E56B6" w:rsidRPr="00DC2721" w:rsidRDefault="002E56B6" w:rsidP="002E56B6">
            <w:pPr>
              <w:rPr>
                <w:rFonts w:eastAsia="Times New Roman"/>
                <w:color w:val="000000"/>
                <w:szCs w:val="24"/>
              </w:rPr>
            </w:pPr>
            <w:r w:rsidRPr="00DC2721">
              <w:rPr>
                <w:rFonts w:eastAsia="Times New Roman"/>
                <w:color w:val="000000"/>
                <w:szCs w:val="24"/>
              </w:rPr>
              <w:t>Indirect effect</w:t>
            </w:r>
          </w:p>
        </w:tc>
        <w:tc>
          <w:tcPr>
            <w:tcW w:w="1176" w:type="dxa"/>
            <w:tcBorders>
              <w:top w:val="nil"/>
              <w:left w:val="nil"/>
              <w:bottom w:val="single" w:sz="4" w:space="0" w:color="auto"/>
              <w:right w:val="nil"/>
            </w:tcBorders>
            <w:shd w:val="clear" w:color="auto" w:fill="auto"/>
            <w:noWrap/>
            <w:vAlign w:val="bottom"/>
            <w:hideMark/>
          </w:tcPr>
          <w:p w14:paraId="4852D138" w14:textId="77777777" w:rsidR="002E56B6" w:rsidRPr="00DC2721" w:rsidRDefault="002E56B6" w:rsidP="002E56B6">
            <w:pPr>
              <w:tabs>
                <w:tab w:val="decimal" w:pos="420"/>
              </w:tabs>
              <w:rPr>
                <w:rFonts w:eastAsia="Times New Roman"/>
                <w:color w:val="000000"/>
                <w:szCs w:val="24"/>
              </w:rPr>
            </w:pPr>
            <w:r w:rsidRPr="00DC2721">
              <w:rPr>
                <w:rFonts w:eastAsia="Times New Roman"/>
                <w:color w:val="000000"/>
                <w:szCs w:val="24"/>
              </w:rPr>
              <w:t>-0.03</w:t>
            </w:r>
          </w:p>
        </w:tc>
        <w:tc>
          <w:tcPr>
            <w:tcW w:w="1680" w:type="dxa"/>
            <w:tcBorders>
              <w:top w:val="nil"/>
              <w:left w:val="nil"/>
              <w:bottom w:val="single" w:sz="4" w:space="0" w:color="auto"/>
              <w:right w:val="nil"/>
            </w:tcBorders>
            <w:shd w:val="clear" w:color="auto" w:fill="auto"/>
            <w:noWrap/>
            <w:vAlign w:val="bottom"/>
            <w:hideMark/>
          </w:tcPr>
          <w:p w14:paraId="2C313753" w14:textId="4D250280" w:rsidR="002E56B6" w:rsidRPr="00DC2721" w:rsidRDefault="002E56B6" w:rsidP="002E56B6">
            <w:pPr>
              <w:jc w:val="right"/>
              <w:rPr>
                <w:rFonts w:eastAsia="Times New Roman"/>
                <w:color w:val="000000"/>
                <w:szCs w:val="24"/>
              </w:rPr>
            </w:pPr>
            <w:r w:rsidRPr="00DC2721">
              <w:rPr>
                <w:rFonts w:eastAsia="Times New Roman"/>
                <w:color w:val="000000"/>
                <w:szCs w:val="24"/>
              </w:rPr>
              <w:t>(-.0</w:t>
            </w:r>
            <w:r w:rsidR="00DC2721" w:rsidRPr="00DC2721">
              <w:rPr>
                <w:rFonts w:eastAsia="Times New Roman"/>
                <w:color w:val="000000"/>
                <w:szCs w:val="24"/>
              </w:rPr>
              <w:t>6</w:t>
            </w:r>
            <w:r w:rsidR="00D224D7">
              <w:rPr>
                <w:rFonts w:eastAsia="Times New Roman"/>
                <w:color w:val="000000"/>
                <w:szCs w:val="24"/>
              </w:rPr>
              <w:t>6</w:t>
            </w:r>
            <w:r w:rsidRPr="00DC2721">
              <w:rPr>
                <w:rFonts w:eastAsia="Times New Roman"/>
                <w:color w:val="000000"/>
                <w:szCs w:val="24"/>
              </w:rPr>
              <w:t>, -.00</w:t>
            </w:r>
            <w:r w:rsidR="00D224D7">
              <w:rPr>
                <w:rFonts w:eastAsia="Times New Roman"/>
                <w:color w:val="000000"/>
                <w:szCs w:val="24"/>
              </w:rPr>
              <w:t>9</w:t>
            </w:r>
            <w:r w:rsidRPr="00DC2721">
              <w:rPr>
                <w:rFonts w:eastAsia="Times New Roman"/>
                <w:color w:val="000000"/>
                <w:szCs w:val="24"/>
              </w:rPr>
              <w:t>)</w:t>
            </w:r>
          </w:p>
        </w:tc>
      </w:tr>
    </w:tbl>
    <w:p w14:paraId="40F12A10" w14:textId="394C251E" w:rsidR="002E56B6" w:rsidRPr="00DC2721" w:rsidRDefault="002E56B6" w:rsidP="002E56B6">
      <w:pPr>
        <w:rPr>
          <w:szCs w:val="24"/>
        </w:rPr>
      </w:pPr>
      <w:r w:rsidRPr="00DC2721">
        <w:rPr>
          <w:i/>
          <w:szCs w:val="24"/>
        </w:rPr>
        <w:t>Note</w:t>
      </w:r>
      <w:r w:rsidRPr="00DC2721">
        <w:rPr>
          <w:szCs w:val="24"/>
        </w:rPr>
        <w:t xml:space="preserve">. </w:t>
      </w:r>
      <w:r w:rsidRPr="00DC2721">
        <w:rPr>
          <w:i/>
          <w:szCs w:val="24"/>
        </w:rPr>
        <w:t>N</w:t>
      </w:r>
      <w:r w:rsidRPr="00DC2721">
        <w:rPr>
          <w:szCs w:val="24"/>
        </w:rPr>
        <w:t xml:space="preserve"> = </w:t>
      </w:r>
      <w:r w:rsidR="00DC2721">
        <w:rPr>
          <w:szCs w:val="24"/>
        </w:rPr>
        <w:t>244</w:t>
      </w:r>
      <w:r w:rsidRPr="00DC2721">
        <w:rPr>
          <w:szCs w:val="24"/>
        </w:rPr>
        <w:t xml:space="preserve">. Bootstrap sample size = 5,000. </w:t>
      </w:r>
    </w:p>
    <w:p w14:paraId="7EE78C70" w14:textId="77777777" w:rsidR="002E56B6" w:rsidRPr="00DC2721" w:rsidRDefault="002E56B6" w:rsidP="002E56B6">
      <w:pPr>
        <w:rPr>
          <w:szCs w:val="24"/>
        </w:rPr>
      </w:pPr>
      <w:r w:rsidRPr="00DC2721">
        <w:rPr>
          <w:szCs w:val="24"/>
        </w:rPr>
        <w:t>95% Confidence Interval (CI).</w:t>
      </w:r>
    </w:p>
    <w:p w14:paraId="1403A2B8" w14:textId="77777777" w:rsidR="002E56B6" w:rsidRPr="00DC2721" w:rsidRDefault="002E56B6" w:rsidP="002E56B6">
      <w:pPr>
        <w:rPr>
          <w:rFonts w:eastAsia="Times New Roman"/>
          <w:szCs w:val="24"/>
        </w:rPr>
      </w:pPr>
      <w:r w:rsidRPr="00DC2721">
        <w:rPr>
          <w:rFonts w:eastAsia="Times New Roman"/>
          <w:szCs w:val="24"/>
        </w:rPr>
        <w:t>BLM</w:t>
      </w:r>
      <w:r w:rsidRPr="00DC2721">
        <w:rPr>
          <w:rFonts w:eastAsia="Times New Roman"/>
          <w:i/>
          <w:szCs w:val="24"/>
        </w:rPr>
        <w:t xml:space="preserve"> </w:t>
      </w:r>
      <w:r w:rsidRPr="00DC2721">
        <w:rPr>
          <w:rFonts w:eastAsia="Times New Roman"/>
          <w:szCs w:val="24"/>
        </w:rPr>
        <w:t>= bottom-line mentality</w:t>
      </w:r>
      <w:r w:rsidRPr="00DC2721">
        <w:rPr>
          <w:rFonts w:eastAsia="Times New Roman"/>
          <w:i/>
          <w:szCs w:val="24"/>
        </w:rPr>
        <w:t>.</w:t>
      </w:r>
    </w:p>
    <w:p w14:paraId="6A863466" w14:textId="77777777" w:rsidR="002E56B6" w:rsidRPr="00DC2721" w:rsidRDefault="002E56B6" w:rsidP="002E56B6">
      <w:pPr>
        <w:rPr>
          <w:rFonts w:eastAsia="Times New Roman"/>
          <w:szCs w:val="24"/>
        </w:rPr>
      </w:pPr>
      <w:r w:rsidRPr="00DC2721">
        <w:rPr>
          <w:rFonts w:eastAsia="Times New Roman"/>
          <w:szCs w:val="24"/>
          <w:vertAlign w:val="superscript"/>
        </w:rPr>
        <w:t>a</w:t>
      </w:r>
      <w:r w:rsidRPr="00DC2721">
        <w:rPr>
          <w:rFonts w:eastAsia="Times New Roman"/>
          <w:szCs w:val="24"/>
        </w:rPr>
        <w:t xml:space="preserve"> employee demographic. </w:t>
      </w:r>
    </w:p>
    <w:p w14:paraId="399518CD" w14:textId="77777777" w:rsidR="002E56B6" w:rsidRPr="00DC2721" w:rsidRDefault="002E56B6" w:rsidP="002E56B6">
      <w:pPr>
        <w:rPr>
          <w:rFonts w:eastAsia="Times New Roman"/>
          <w:szCs w:val="24"/>
          <w:vertAlign w:val="superscript"/>
        </w:rPr>
      </w:pPr>
      <w:r w:rsidRPr="00DC2721">
        <w:rPr>
          <w:rFonts w:eastAsia="Times New Roman"/>
          <w:szCs w:val="24"/>
        </w:rPr>
        <w:t>Bootstrapped estimates for the standard error are shown.</w:t>
      </w:r>
    </w:p>
    <w:p w14:paraId="27E551F5" w14:textId="77777777" w:rsidR="002E56B6" w:rsidRPr="00DC2721" w:rsidRDefault="002E56B6" w:rsidP="002E56B6">
      <w:pPr>
        <w:rPr>
          <w:szCs w:val="24"/>
        </w:rPr>
      </w:pPr>
      <w:r w:rsidRPr="00DC2721">
        <w:rPr>
          <w:szCs w:val="24"/>
          <w:vertAlign w:val="superscript"/>
        </w:rPr>
        <w:t>***</w:t>
      </w:r>
      <w:r w:rsidRPr="00DC2721">
        <w:rPr>
          <w:szCs w:val="24"/>
        </w:rPr>
        <w:t xml:space="preserve"> </w:t>
      </w:r>
      <w:r w:rsidRPr="00DC2721">
        <w:rPr>
          <w:i/>
          <w:szCs w:val="24"/>
        </w:rPr>
        <w:t>p</w:t>
      </w:r>
      <w:r w:rsidRPr="00DC2721">
        <w:rPr>
          <w:szCs w:val="24"/>
        </w:rPr>
        <w:t xml:space="preserve"> &lt; .001, </w:t>
      </w:r>
      <w:r w:rsidRPr="00DC2721">
        <w:rPr>
          <w:szCs w:val="24"/>
          <w:vertAlign w:val="superscript"/>
        </w:rPr>
        <w:t xml:space="preserve">** </w:t>
      </w:r>
      <w:r w:rsidRPr="00DC2721">
        <w:rPr>
          <w:i/>
          <w:szCs w:val="24"/>
        </w:rPr>
        <w:t>p</w:t>
      </w:r>
      <w:r w:rsidRPr="00DC2721">
        <w:rPr>
          <w:szCs w:val="24"/>
        </w:rPr>
        <w:t xml:space="preserve"> &lt; .01, </w:t>
      </w:r>
      <w:r w:rsidRPr="00DC2721">
        <w:rPr>
          <w:szCs w:val="24"/>
          <w:vertAlign w:val="superscript"/>
        </w:rPr>
        <w:t xml:space="preserve">* </w:t>
      </w:r>
      <w:r w:rsidRPr="00DC2721">
        <w:rPr>
          <w:i/>
          <w:szCs w:val="24"/>
        </w:rPr>
        <w:t>p</w:t>
      </w:r>
      <w:r w:rsidRPr="00DC2721">
        <w:rPr>
          <w:szCs w:val="24"/>
        </w:rPr>
        <w:t xml:space="preserve"> &lt; .05.</w:t>
      </w:r>
    </w:p>
    <w:p w14:paraId="2385E38C" w14:textId="77777777" w:rsidR="002E56B6" w:rsidRPr="002E56B6" w:rsidRDefault="002E56B6" w:rsidP="002E56B6">
      <w:pPr>
        <w:rPr>
          <w:szCs w:val="24"/>
          <w:highlight w:val="yellow"/>
        </w:rPr>
        <w:sectPr w:rsidR="002E56B6" w:rsidRPr="002E56B6" w:rsidSect="00F27E54">
          <w:headerReference w:type="first" r:id="rId13"/>
          <w:pgSz w:w="12240" w:h="15840"/>
          <w:pgMar w:top="1440" w:right="1440" w:bottom="1440" w:left="1440" w:header="720" w:footer="720" w:gutter="0"/>
          <w:cols w:space="720"/>
          <w:docGrid w:linePitch="326"/>
        </w:sectPr>
      </w:pPr>
    </w:p>
    <w:p w14:paraId="62772688" w14:textId="3F8AB4DC" w:rsidR="002E56B6" w:rsidRPr="00DC2721" w:rsidRDefault="002E56B6" w:rsidP="002E56B6">
      <w:pPr>
        <w:tabs>
          <w:tab w:val="center" w:pos="4680"/>
          <w:tab w:val="left" w:pos="5445"/>
        </w:tabs>
        <w:spacing w:line="480" w:lineRule="auto"/>
        <w:rPr>
          <w:szCs w:val="24"/>
        </w:rPr>
      </w:pPr>
      <w:r w:rsidRPr="00DC2721">
        <w:rPr>
          <w:szCs w:val="24"/>
        </w:rPr>
        <w:lastRenderedPageBreak/>
        <w:t xml:space="preserve">Table </w:t>
      </w:r>
      <w:r w:rsidR="00A6493D">
        <w:rPr>
          <w:szCs w:val="24"/>
        </w:rPr>
        <w:t>6</w:t>
      </w:r>
    </w:p>
    <w:p w14:paraId="100E23D9" w14:textId="4B2FDCF1" w:rsidR="002E56B6" w:rsidRPr="00DC2721" w:rsidRDefault="002E56B6" w:rsidP="002E56B6">
      <w:pPr>
        <w:spacing w:line="480" w:lineRule="auto"/>
        <w:rPr>
          <w:szCs w:val="24"/>
        </w:rPr>
      </w:pPr>
      <w:r w:rsidRPr="00DC2721">
        <w:rPr>
          <w:i/>
          <w:szCs w:val="24"/>
        </w:rPr>
        <w:t xml:space="preserve">Study </w:t>
      </w:r>
      <w:r w:rsidR="00DC2721" w:rsidRPr="00DC2721">
        <w:rPr>
          <w:i/>
          <w:szCs w:val="24"/>
        </w:rPr>
        <w:t>2</w:t>
      </w:r>
      <w:r w:rsidRPr="00DC2721">
        <w:rPr>
          <w:i/>
          <w:szCs w:val="24"/>
        </w:rPr>
        <w:t xml:space="preserve"> – Moderated-Mediation Analyses using Hayes’ (2013) PROCESS Macro (Model 7)</w:t>
      </w:r>
    </w:p>
    <w:tbl>
      <w:tblPr>
        <w:tblW w:w="8330" w:type="dxa"/>
        <w:tblLook w:val="04A0" w:firstRow="1" w:lastRow="0" w:firstColumn="1" w:lastColumn="0" w:noHBand="0" w:noVBand="1"/>
      </w:tblPr>
      <w:tblGrid>
        <w:gridCol w:w="3330"/>
        <w:gridCol w:w="1130"/>
        <w:gridCol w:w="990"/>
        <w:gridCol w:w="1350"/>
        <w:gridCol w:w="1530"/>
      </w:tblGrid>
      <w:tr w:rsidR="002E56B6" w:rsidRPr="00DC2721" w14:paraId="41ECDC20" w14:textId="77777777" w:rsidTr="002E56B6">
        <w:trPr>
          <w:trHeight w:val="315"/>
        </w:trPr>
        <w:tc>
          <w:tcPr>
            <w:tcW w:w="3330" w:type="dxa"/>
            <w:tcBorders>
              <w:top w:val="single" w:sz="4" w:space="0" w:color="auto"/>
              <w:left w:val="nil"/>
              <w:bottom w:val="nil"/>
              <w:right w:val="nil"/>
            </w:tcBorders>
            <w:shd w:val="clear" w:color="auto" w:fill="auto"/>
            <w:noWrap/>
            <w:vAlign w:val="bottom"/>
            <w:hideMark/>
          </w:tcPr>
          <w:p w14:paraId="0981F9A7" w14:textId="77777777" w:rsidR="002E56B6" w:rsidRPr="00DC2721" w:rsidRDefault="002E56B6" w:rsidP="002E56B6">
            <w:pPr>
              <w:rPr>
                <w:rFonts w:eastAsia="Times New Roman"/>
                <w:color w:val="000000"/>
                <w:szCs w:val="24"/>
              </w:rPr>
            </w:pPr>
            <w:r w:rsidRPr="00DC2721">
              <w:rPr>
                <w:rFonts w:eastAsia="Times New Roman"/>
                <w:color w:val="000000"/>
                <w:szCs w:val="24"/>
              </w:rPr>
              <w:t> </w:t>
            </w:r>
          </w:p>
        </w:tc>
        <w:tc>
          <w:tcPr>
            <w:tcW w:w="2120" w:type="dxa"/>
            <w:gridSpan w:val="2"/>
            <w:tcBorders>
              <w:top w:val="single" w:sz="4" w:space="0" w:color="auto"/>
              <w:left w:val="nil"/>
              <w:bottom w:val="single" w:sz="4" w:space="0" w:color="auto"/>
              <w:right w:val="nil"/>
            </w:tcBorders>
            <w:shd w:val="clear" w:color="auto" w:fill="auto"/>
            <w:noWrap/>
            <w:vAlign w:val="bottom"/>
            <w:hideMark/>
          </w:tcPr>
          <w:p w14:paraId="5A532986"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Mediator model</w:t>
            </w:r>
          </w:p>
        </w:tc>
        <w:tc>
          <w:tcPr>
            <w:tcW w:w="2880" w:type="dxa"/>
            <w:gridSpan w:val="2"/>
            <w:tcBorders>
              <w:top w:val="single" w:sz="4" w:space="0" w:color="auto"/>
              <w:left w:val="nil"/>
              <w:bottom w:val="single" w:sz="4" w:space="0" w:color="auto"/>
              <w:right w:val="nil"/>
            </w:tcBorders>
            <w:shd w:val="clear" w:color="auto" w:fill="auto"/>
            <w:noWrap/>
            <w:vAlign w:val="bottom"/>
            <w:hideMark/>
          </w:tcPr>
          <w:p w14:paraId="436CD9D0"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Dependent variable model</w:t>
            </w:r>
          </w:p>
        </w:tc>
      </w:tr>
      <w:tr w:rsidR="002E56B6" w:rsidRPr="00DC2721" w14:paraId="7F656745" w14:textId="77777777" w:rsidTr="002E56B6">
        <w:trPr>
          <w:trHeight w:val="315"/>
        </w:trPr>
        <w:tc>
          <w:tcPr>
            <w:tcW w:w="3330" w:type="dxa"/>
            <w:tcBorders>
              <w:top w:val="nil"/>
              <w:left w:val="nil"/>
              <w:bottom w:val="nil"/>
              <w:right w:val="nil"/>
            </w:tcBorders>
            <w:shd w:val="clear" w:color="auto" w:fill="auto"/>
            <w:noWrap/>
            <w:vAlign w:val="bottom"/>
            <w:hideMark/>
          </w:tcPr>
          <w:p w14:paraId="36C5901E" w14:textId="77777777" w:rsidR="002E56B6" w:rsidRPr="00DC2721" w:rsidRDefault="002E56B6" w:rsidP="002E56B6">
            <w:pPr>
              <w:jc w:val="center"/>
              <w:rPr>
                <w:rFonts w:eastAsia="Times New Roman"/>
                <w:color w:val="000000"/>
                <w:szCs w:val="24"/>
              </w:rPr>
            </w:pPr>
          </w:p>
        </w:tc>
        <w:tc>
          <w:tcPr>
            <w:tcW w:w="2120" w:type="dxa"/>
            <w:gridSpan w:val="2"/>
            <w:tcBorders>
              <w:top w:val="single" w:sz="4" w:space="0" w:color="auto"/>
              <w:left w:val="nil"/>
              <w:bottom w:val="single" w:sz="4" w:space="0" w:color="auto"/>
              <w:right w:val="nil"/>
            </w:tcBorders>
            <w:shd w:val="clear" w:color="auto" w:fill="auto"/>
            <w:noWrap/>
            <w:vAlign w:val="bottom"/>
            <w:hideMark/>
          </w:tcPr>
          <w:p w14:paraId="5436963B" w14:textId="3E2771C0" w:rsidR="002E56B6" w:rsidRPr="00DC2721" w:rsidRDefault="002E56B6" w:rsidP="002E56B6">
            <w:pPr>
              <w:jc w:val="center"/>
              <w:rPr>
                <w:rFonts w:eastAsia="Times New Roman"/>
                <w:color w:val="000000"/>
                <w:szCs w:val="24"/>
              </w:rPr>
            </w:pPr>
            <w:r w:rsidRPr="00DC2721">
              <w:rPr>
                <w:rFonts w:eastAsia="Times New Roman"/>
                <w:color w:val="000000"/>
                <w:szCs w:val="24"/>
              </w:rPr>
              <w:t>LM</w:t>
            </w:r>
            <w:r w:rsidR="00DC2721" w:rsidRPr="00DC2721">
              <w:rPr>
                <w:rFonts w:eastAsia="Times New Roman"/>
                <w:color w:val="000000"/>
                <w:szCs w:val="24"/>
              </w:rPr>
              <w:t>S</w:t>
            </w:r>
            <w:r w:rsidRPr="00DC2721">
              <w:rPr>
                <w:rFonts w:eastAsia="Times New Roman"/>
                <w:color w:val="000000"/>
                <w:szCs w:val="24"/>
              </w:rPr>
              <w:t>X</w:t>
            </w:r>
          </w:p>
        </w:tc>
        <w:tc>
          <w:tcPr>
            <w:tcW w:w="2880" w:type="dxa"/>
            <w:gridSpan w:val="2"/>
            <w:tcBorders>
              <w:top w:val="nil"/>
              <w:left w:val="nil"/>
              <w:bottom w:val="single" w:sz="4" w:space="0" w:color="auto"/>
              <w:right w:val="nil"/>
            </w:tcBorders>
            <w:shd w:val="clear" w:color="auto" w:fill="auto"/>
            <w:noWrap/>
            <w:vAlign w:val="bottom"/>
            <w:hideMark/>
          </w:tcPr>
          <w:p w14:paraId="4D2E2C46"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Task performance</w:t>
            </w:r>
          </w:p>
        </w:tc>
      </w:tr>
      <w:tr w:rsidR="002E56B6" w:rsidRPr="00DC2721" w14:paraId="17CACACC" w14:textId="77777777" w:rsidTr="002E56B6">
        <w:trPr>
          <w:trHeight w:val="315"/>
        </w:trPr>
        <w:tc>
          <w:tcPr>
            <w:tcW w:w="3330" w:type="dxa"/>
            <w:tcBorders>
              <w:top w:val="nil"/>
              <w:left w:val="nil"/>
              <w:bottom w:val="single" w:sz="4" w:space="0" w:color="auto"/>
              <w:right w:val="nil"/>
            </w:tcBorders>
            <w:shd w:val="clear" w:color="auto" w:fill="auto"/>
            <w:noWrap/>
            <w:vAlign w:val="bottom"/>
            <w:hideMark/>
          </w:tcPr>
          <w:p w14:paraId="7037CD35" w14:textId="77777777" w:rsidR="002E56B6" w:rsidRPr="00DC2721" w:rsidRDefault="002E56B6" w:rsidP="002E56B6">
            <w:pPr>
              <w:rPr>
                <w:rFonts w:eastAsia="Times New Roman"/>
                <w:color w:val="000000"/>
                <w:szCs w:val="24"/>
              </w:rPr>
            </w:pPr>
            <w:r w:rsidRPr="00DC2721">
              <w:rPr>
                <w:rFonts w:eastAsia="Times New Roman"/>
                <w:color w:val="000000"/>
                <w:szCs w:val="24"/>
              </w:rPr>
              <w:t> </w:t>
            </w:r>
          </w:p>
        </w:tc>
        <w:tc>
          <w:tcPr>
            <w:tcW w:w="1130" w:type="dxa"/>
            <w:tcBorders>
              <w:top w:val="nil"/>
              <w:left w:val="nil"/>
              <w:bottom w:val="single" w:sz="4" w:space="0" w:color="auto"/>
              <w:right w:val="nil"/>
            </w:tcBorders>
            <w:shd w:val="clear" w:color="auto" w:fill="auto"/>
            <w:noWrap/>
            <w:vAlign w:val="bottom"/>
            <w:hideMark/>
          </w:tcPr>
          <w:p w14:paraId="27C84FEF" w14:textId="77777777" w:rsidR="002E56B6" w:rsidRPr="00DC2721" w:rsidRDefault="002E56B6" w:rsidP="002E56B6">
            <w:pPr>
              <w:jc w:val="center"/>
              <w:rPr>
                <w:rFonts w:eastAsia="Times New Roman"/>
                <w:i/>
                <w:iCs/>
                <w:color w:val="000000"/>
                <w:szCs w:val="24"/>
              </w:rPr>
            </w:pPr>
            <w:r w:rsidRPr="00DC2721">
              <w:rPr>
                <w:rFonts w:eastAsia="Times New Roman"/>
                <w:i/>
                <w:iCs/>
                <w:color w:val="000000"/>
                <w:szCs w:val="24"/>
              </w:rPr>
              <w:t>b</w:t>
            </w:r>
          </w:p>
        </w:tc>
        <w:tc>
          <w:tcPr>
            <w:tcW w:w="990" w:type="dxa"/>
            <w:tcBorders>
              <w:top w:val="nil"/>
              <w:left w:val="nil"/>
              <w:bottom w:val="single" w:sz="4" w:space="0" w:color="auto"/>
              <w:right w:val="nil"/>
            </w:tcBorders>
            <w:shd w:val="clear" w:color="auto" w:fill="auto"/>
            <w:noWrap/>
            <w:vAlign w:val="bottom"/>
            <w:hideMark/>
          </w:tcPr>
          <w:p w14:paraId="4AAF4A08" w14:textId="77777777" w:rsidR="002E56B6" w:rsidRPr="00DC2721" w:rsidRDefault="002E56B6" w:rsidP="002E56B6">
            <w:pPr>
              <w:jc w:val="center"/>
              <w:rPr>
                <w:rFonts w:eastAsia="Times New Roman"/>
                <w:i/>
                <w:iCs/>
                <w:color w:val="000000"/>
                <w:szCs w:val="24"/>
              </w:rPr>
            </w:pPr>
            <w:r w:rsidRPr="00DC2721">
              <w:rPr>
                <w:rFonts w:eastAsia="Times New Roman"/>
                <w:i/>
                <w:iCs/>
                <w:color w:val="000000"/>
                <w:szCs w:val="24"/>
              </w:rPr>
              <w:t>SE</w:t>
            </w:r>
          </w:p>
        </w:tc>
        <w:tc>
          <w:tcPr>
            <w:tcW w:w="1350" w:type="dxa"/>
            <w:tcBorders>
              <w:top w:val="nil"/>
              <w:left w:val="nil"/>
              <w:bottom w:val="single" w:sz="4" w:space="0" w:color="auto"/>
              <w:right w:val="nil"/>
            </w:tcBorders>
            <w:shd w:val="clear" w:color="auto" w:fill="auto"/>
            <w:noWrap/>
            <w:vAlign w:val="bottom"/>
            <w:hideMark/>
          </w:tcPr>
          <w:p w14:paraId="41B7F650" w14:textId="77777777" w:rsidR="002E56B6" w:rsidRPr="00DC2721" w:rsidRDefault="002E56B6" w:rsidP="002E56B6">
            <w:pPr>
              <w:jc w:val="center"/>
              <w:rPr>
                <w:rFonts w:eastAsia="Times New Roman"/>
                <w:i/>
                <w:iCs/>
                <w:color w:val="000000"/>
                <w:szCs w:val="24"/>
              </w:rPr>
            </w:pPr>
            <w:r w:rsidRPr="00DC2721">
              <w:rPr>
                <w:rFonts w:eastAsia="Times New Roman"/>
                <w:i/>
                <w:iCs/>
                <w:color w:val="000000"/>
                <w:szCs w:val="24"/>
              </w:rPr>
              <w:t>b</w:t>
            </w:r>
          </w:p>
        </w:tc>
        <w:tc>
          <w:tcPr>
            <w:tcW w:w="1530" w:type="dxa"/>
            <w:tcBorders>
              <w:top w:val="nil"/>
              <w:left w:val="nil"/>
              <w:bottom w:val="single" w:sz="4" w:space="0" w:color="auto"/>
              <w:right w:val="nil"/>
            </w:tcBorders>
            <w:shd w:val="clear" w:color="auto" w:fill="auto"/>
            <w:noWrap/>
            <w:vAlign w:val="bottom"/>
            <w:hideMark/>
          </w:tcPr>
          <w:p w14:paraId="497139FF" w14:textId="77777777" w:rsidR="002E56B6" w:rsidRPr="00DC2721" w:rsidRDefault="002E56B6" w:rsidP="002E56B6">
            <w:pPr>
              <w:jc w:val="center"/>
              <w:rPr>
                <w:rFonts w:eastAsia="Times New Roman"/>
                <w:i/>
                <w:iCs/>
                <w:color w:val="000000"/>
                <w:szCs w:val="24"/>
              </w:rPr>
            </w:pPr>
            <w:r w:rsidRPr="00DC2721">
              <w:rPr>
                <w:rFonts w:eastAsia="Times New Roman"/>
                <w:i/>
                <w:iCs/>
                <w:color w:val="000000"/>
                <w:szCs w:val="24"/>
              </w:rPr>
              <w:t>SE</w:t>
            </w:r>
          </w:p>
        </w:tc>
      </w:tr>
      <w:tr w:rsidR="002E56B6" w:rsidRPr="00DC2721" w14:paraId="3236BC21" w14:textId="77777777" w:rsidTr="002E56B6">
        <w:trPr>
          <w:trHeight w:val="315"/>
        </w:trPr>
        <w:tc>
          <w:tcPr>
            <w:tcW w:w="3330" w:type="dxa"/>
            <w:tcBorders>
              <w:top w:val="nil"/>
              <w:left w:val="nil"/>
              <w:bottom w:val="nil"/>
              <w:right w:val="nil"/>
            </w:tcBorders>
            <w:shd w:val="clear" w:color="auto" w:fill="auto"/>
            <w:noWrap/>
            <w:vAlign w:val="bottom"/>
            <w:hideMark/>
          </w:tcPr>
          <w:p w14:paraId="59D2C1CF" w14:textId="77777777" w:rsidR="002E56B6" w:rsidRPr="00DC2721" w:rsidRDefault="002E56B6" w:rsidP="002E56B6">
            <w:pPr>
              <w:rPr>
                <w:rFonts w:eastAsia="Times New Roman"/>
                <w:color w:val="000000"/>
                <w:szCs w:val="24"/>
              </w:rPr>
            </w:pPr>
            <w:r w:rsidRPr="00DC2721">
              <w:rPr>
                <w:rFonts w:eastAsia="Times New Roman"/>
                <w:color w:val="000000"/>
                <w:szCs w:val="24"/>
              </w:rPr>
              <w:t>Constant</w:t>
            </w:r>
          </w:p>
        </w:tc>
        <w:tc>
          <w:tcPr>
            <w:tcW w:w="1130" w:type="dxa"/>
            <w:tcBorders>
              <w:top w:val="nil"/>
              <w:left w:val="nil"/>
              <w:bottom w:val="nil"/>
              <w:right w:val="nil"/>
            </w:tcBorders>
            <w:shd w:val="clear" w:color="auto" w:fill="auto"/>
            <w:noWrap/>
            <w:vAlign w:val="bottom"/>
            <w:hideMark/>
          </w:tcPr>
          <w:p w14:paraId="056209E7" w14:textId="3629F266" w:rsidR="002E56B6" w:rsidRPr="00DC2721" w:rsidRDefault="002E56B6" w:rsidP="002E56B6">
            <w:pPr>
              <w:tabs>
                <w:tab w:val="decimal" w:pos="270"/>
              </w:tabs>
              <w:rPr>
                <w:rFonts w:eastAsia="Times New Roman"/>
                <w:color w:val="000000"/>
                <w:szCs w:val="24"/>
              </w:rPr>
            </w:pPr>
            <w:r w:rsidRPr="00DC2721">
              <w:rPr>
                <w:rFonts w:eastAsia="Times New Roman"/>
                <w:color w:val="000000"/>
                <w:szCs w:val="24"/>
              </w:rPr>
              <w:t>5.</w:t>
            </w:r>
            <w:r w:rsidR="00D224D7">
              <w:rPr>
                <w:rFonts w:eastAsia="Times New Roman"/>
                <w:color w:val="000000"/>
                <w:szCs w:val="24"/>
              </w:rPr>
              <w:t>57</w:t>
            </w:r>
            <w:r w:rsidRPr="00DC2721">
              <w:rPr>
                <w:rFonts w:eastAsia="Times New Roman"/>
                <w:color w:val="000000"/>
                <w:szCs w:val="24"/>
                <w:vertAlign w:val="superscript"/>
              </w:rPr>
              <w:t>***</w:t>
            </w:r>
          </w:p>
        </w:tc>
        <w:tc>
          <w:tcPr>
            <w:tcW w:w="990" w:type="dxa"/>
            <w:tcBorders>
              <w:top w:val="nil"/>
              <w:left w:val="nil"/>
              <w:bottom w:val="nil"/>
              <w:right w:val="nil"/>
            </w:tcBorders>
            <w:shd w:val="clear" w:color="auto" w:fill="auto"/>
            <w:noWrap/>
            <w:vAlign w:val="bottom"/>
            <w:hideMark/>
          </w:tcPr>
          <w:p w14:paraId="1D22A562" w14:textId="5B4A4128" w:rsidR="002E56B6" w:rsidRPr="00DC2721" w:rsidRDefault="002E56B6" w:rsidP="002E56B6">
            <w:pPr>
              <w:jc w:val="center"/>
              <w:rPr>
                <w:rFonts w:eastAsia="Times New Roman"/>
                <w:color w:val="000000"/>
                <w:szCs w:val="24"/>
              </w:rPr>
            </w:pPr>
            <w:r w:rsidRPr="00DC2721">
              <w:rPr>
                <w:rFonts w:eastAsia="Times New Roman"/>
                <w:color w:val="000000"/>
                <w:szCs w:val="24"/>
              </w:rPr>
              <w:t>0.</w:t>
            </w:r>
            <w:r w:rsidR="00D224D7">
              <w:rPr>
                <w:rFonts w:eastAsia="Times New Roman"/>
                <w:color w:val="000000"/>
                <w:szCs w:val="24"/>
              </w:rPr>
              <w:t>08</w:t>
            </w:r>
          </w:p>
        </w:tc>
        <w:tc>
          <w:tcPr>
            <w:tcW w:w="1350" w:type="dxa"/>
            <w:tcBorders>
              <w:top w:val="nil"/>
              <w:left w:val="nil"/>
              <w:bottom w:val="nil"/>
              <w:right w:val="nil"/>
            </w:tcBorders>
            <w:shd w:val="clear" w:color="auto" w:fill="auto"/>
            <w:noWrap/>
            <w:vAlign w:val="bottom"/>
            <w:hideMark/>
          </w:tcPr>
          <w:p w14:paraId="552F587F" w14:textId="2B601000" w:rsidR="002E56B6" w:rsidRPr="00DC2721" w:rsidRDefault="00D224D7" w:rsidP="002E56B6">
            <w:pPr>
              <w:tabs>
                <w:tab w:val="decimal" w:pos="405"/>
              </w:tabs>
              <w:rPr>
                <w:rFonts w:eastAsia="Times New Roman"/>
                <w:color w:val="000000"/>
                <w:szCs w:val="24"/>
              </w:rPr>
            </w:pPr>
            <w:r>
              <w:rPr>
                <w:rFonts w:eastAsia="Times New Roman"/>
                <w:color w:val="000000"/>
                <w:szCs w:val="24"/>
              </w:rPr>
              <w:t>5.13</w:t>
            </w:r>
            <w:r w:rsidR="002E56B6" w:rsidRPr="00DC2721">
              <w:rPr>
                <w:rFonts w:eastAsia="Times New Roman"/>
                <w:color w:val="000000"/>
                <w:szCs w:val="24"/>
                <w:vertAlign w:val="superscript"/>
              </w:rPr>
              <w:t>***</w:t>
            </w:r>
          </w:p>
        </w:tc>
        <w:tc>
          <w:tcPr>
            <w:tcW w:w="1530" w:type="dxa"/>
            <w:tcBorders>
              <w:top w:val="nil"/>
              <w:left w:val="nil"/>
              <w:bottom w:val="nil"/>
              <w:right w:val="nil"/>
            </w:tcBorders>
            <w:shd w:val="clear" w:color="auto" w:fill="auto"/>
            <w:noWrap/>
            <w:vAlign w:val="bottom"/>
            <w:hideMark/>
          </w:tcPr>
          <w:p w14:paraId="1462ED4F" w14:textId="036EF94E" w:rsidR="002E56B6" w:rsidRPr="00DC2721" w:rsidRDefault="002E56B6" w:rsidP="002E56B6">
            <w:pPr>
              <w:jc w:val="center"/>
              <w:rPr>
                <w:rFonts w:eastAsia="Times New Roman"/>
                <w:color w:val="000000"/>
                <w:szCs w:val="24"/>
              </w:rPr>
            </w:pPr>
            <w:r w:rsidRPr="00DC2721">
              <w:rPr>
                <w:rFonts w:eastAsia="Times New Roman"/>
                <w:color w:val="000000"/>
                <w:szCs w:val="24"/>
              </w:rPr>
              <w:t>0.</w:t>
            </w:r>
            <w:r w:rsidR="00D224D7">
              <w:rPr>
                <w:rFonts w:eastAsia="Times New Roman"/>
                <w:color w:val="000000"/>
                <w:szCs w:val="24"/>
              </w:rPr>
              <w:t>27</w:t>
            </w:r>
          </w:p>
        </w:tc>
      </w:tr>
      <w:tr w:rsidR="002E56B6" w:rsidRPr="00DC2721" w14:paraId="3AB51B8E" w14:textId="77777777" w:rsidTr="002E56B6">
        <w:trPr>
          <w:trHeight w:val="315"/>
        </w:trPr>
        <w:tc>
          <w:tcPr>
            <w:tcW w:w="3330" w:type="dxa"/>
            <w:tcBorders>
              <w:top w:val="nil"/>
              <w:left w:val="nil"/>
              <w:bottom w:val="nil"/>
              <w:right w:val="nil"/>
            </w:tcBorders>
            <w:shd w:val="clear" w:color="auto" w:fill="auto"/>
            <w:noWrap/>
            <w:vAlign w:val="bottom"/>
            <w:hideMark/>
          </w:tcPr>
          <w:p w14:paraId="78DBFBF3" w14:textId="77777777" w:rsidR="002E56B6" w:rsidRPr="00DC2721" w:rsidRDefault="002E56B6" w:rsidP="002E56B6">
            <w:pPr>
              <w:rPr>
                <w:rFonts w:eastAsia="Times New Roman"/>
                <w:color w:val="000000"/>
                <w:szCs w:val="24"/>
              </w:rPr>
            </w:pPr>
            <w:r w:rsidRPr="00DC2721">
              <w:rPr>
                <w:rFonts w:eastAsia="Times New Roman"/>
                <w:color w:val="000000"/>
                <w:szCs w:val="24"/>
              </w:rPr>
              <w:t>Supervisor BLM</w:t>
            </w:r>
            <w:r w:rsidRPr="00DC2721">
              <w:rPr>
                <w:rFonts w:eastAsia="Times New Roman"/>
                <w:color w:val="000000"/>
                <w:szCs w:val="24"/>
                <w:vertAlign w:val="superscript"/>
              </w:rPr>
              <w:t>a</w:t>
            </w:r>
          </w:p>
        </w:tc>
        <w:tc>
          <w:tcPr>
            <w:tcW w:w="1130" w:type="dxa"/>
            <w:tcBorders>
              <w:top w:val="nil"/>
              <w:left w:val="nil"/>
              <w:bottom w:val="nil"/>
              <w:right w:val="nil"/>
            </w:tcBorders>
            <w:shd w:val="clear" w:color="auto" w:fill="auto"/>
            <w:noWrap/>
            <w:vAlign w:val="bottom"/>
            <w:hideMark/>
          </w:tcPr>
          <w:p w14:paraId="2A5DA1CC" w14:textId="4D1F588E" w:rsidR="002E56B6" w:rsidRPr="00DC2721" w:rsidRDefault="002E56B6" w:rsidP="002E56B6">
            <w:pPr>
              <w:tabs>
                <w:tab w:val="decimal" w:pos="270"/>
              </w:tabs>
              <w:rPr>
                <w:rFonts w:eastAsia="Times New Roman"/>
                <w:color w:val="000000"/>
                <w:szCs w:val="24"/>
              </w:rPr>
            </w:pPr>
            <w:r w:rsidRPr="00DC2721">
              <w:rPr>
                <w:rFonts w:eastAsia="Times New Roman"/>
                <w:color w:val="000000"/>
                <w:szCs w:val="24"/>
              </w:rPr>
              <w:t>-0.2</w:t>
            </w:r>
            <w:r w:rsidR="00DC2721" w:rsidRPr="00DC2721">
              <w:rPr>
                <w:rFonts w:eastAsia="Times New Roman"/>
                <w:color w:val="000000"/>
                <w:szCs w:val="24"/>
              </w:rPr>
              <w:t>5</w:t>
            </w:r>
            <w:r w:rsidRPr="00DC2721">
              <w:rPr>
                <w:rFonts w:eastAsia="Times New Roman"/>
                <w:color w:val="000000"/>
                <w:szCs w:val="24"/>
                <w:vertAlign w:val="superscript"/>
              </w:rPr>
              <w:t>**</w:t>
            </w:r>
          </w:p>
        </w:tc>
        <w:tc>
          <w:tcPr>
            <w:tcW w:w="990" w:type="dxa"/>
            <w:tcBorders>
              <w:top w:val="nil"/>
              <w:left w:val="nil"/>
              <w:bottom w:val="nil"/>
              <w:right w:val="nil"/>
            </w:tcBorders>
            <w:shd w:val="clear" w:color="auto" w:fill="auto"/>
            <w:noWrap/>
            <w:vAlign w:val="bottom"/>
            <w:hideMark/>
          </w:tcPr>
          <w:p w14:paraId="6514E726" w14:textId="7D9BE2D1" w:rsidR="002E56B6" w:rsidRPr="00DC2721" w:rsidRDefault="002E56B6" w:rsidP="002E56B6">
            <w:pPr>
              <w:jc w:val="center"/>
              <w:rPr>
                <w:rFonts w:eastAsia="Times New Roman"/>
                <w:color w:val="000000"/>
                <w:szCs w:val="24"/>
              </w:rPr>
            </w:pPr>
            <w:r w:rsidRPr="00DC2721">
              <w:rPr>
                <w:rFonts w:eastAsia="Times New Roman"/>
                <w:color w:val="000000"/>
                <w:szCs w:val="24"/>
              </w:rPr>
              <w:t>0.0</w:t>
            </w:r>
            <w:r w:rsidR="00DC2721" w:rsidRPr="00DC2721">
              <w:rPr>
                <w:rFonts w:eastAsia="Times New Roman"/>
                <w:color w:val="000000"/>
                <w:szCs w:val="24"/>
              </w:rPr>
              <w:t>8</w:t>
            </w:r>
          </w:p>
        </w:tc>
        <w:tc>
          <w:tcPr>
            <w:tcW w:w="1350" w:type="dxa"/>
            <w:tcBorders>
              <w:top w:val="nil"/>
              <w:left w:val="nil"/>
              <w:bottom w:val="nil"/>
              <w:right w:val="nil"/>
            </w:tcBorders>
            <w:shd w:val="clear" w:color="auto" w:fill="auto"/>
            <w:noWrap/>
            <w:vAlign w:val="bottom"/>
            <w:hideMark/>
          </w:tcPr>
          <w:p w14:paraId="6DF4870D" w14:textId="3C62474B" w:rsidR="002E56B6" w:rsidRPr="00DC2721" w:rsidRDefault="002E56B6" w:rsidP="002E56B6">
            <w:pPr>
              <w:tabs>
                <w:tab w:val="decimal" w:pos="405"/>
              </w:tabs>
              <w:rPr>
                <w:rFonts w:eastAsia="Times New Roman"/>
                <w:color w:val="000000"/>
                <w:szCs w:val="24"/>
              </w:rPr>
            </w:pPr>
            <w:r w:rsidRPr="00DC2721">
              <w:rPr>
                <w:rFonts w:eastAsia="Times New Roman"/>
                <w:color w:val="000000"/>
                <w:szCs w:val="24"/>
              </w:rPr>
              <w:t>-0.0</w:t>
            </w:r>
            <w:r w:rsidR="00D224D7">
              <w:rPr>
                <w:rFonts w:eastAsia="Times New Roman"/>
                <w:color w:val="000000"/>
                <w:szCs w:val="24"/>
              </w:rPr>
              <w:t>3</w:t>
            </w:r>
          </w:p>
        </w:tc>
        <w:tc>
          <w:tcPr>
            <w:tcW w:w="1530" w:type="dxa"/>
            <w:tcBorders>
              <w:top w:val="nil"/>
              <w:left w:val="nil"/>
              <w:bottom w:val="nil"/>
              <w:right w:val="nil"/>
            </w:tcBorders>
            <w:shd w:val="clear" w:color="auto" w:fill="auto"/>
            <w:noWrap/>
            <w:vAlign w:val="bottom"/>
            <w:hideMark/>
          </w:tcPr>
          <w:p w14:paraId="58EDED4A" w14:textId="789C5623" w:rsidR="002E56B6" w:rsidRPr="00DC2721" w:rsidRDefault="002E56B6" w:rsidP="002E56B6">
            <w:pPr>
              <w:jc w:val="center"/>
              <w:rPr>
                <w:rFonts w:eastAsia="Times New Roman"/>
                <w:color w:val="000000"/>
                <w:szCs w:val="24"/>
              </w:rPr>
            </w:pPr>
            <w:r w:rsidRPr="00DC2721">
              <w:rPr>
                <w:rFonts w:eastAsia="Times New Roman"/>
                <w:color w:val="000000"/>
                <w:szCs w:val="24"/>
              </w:rPr>
              <w:t>0.0</w:t>
            </w:r>
            <w:r w:rsidR="00D224D7">
              <w:rPr>
                <w:rFonts w:eastAsia="Times New Roman"/>
                <w:color w:val="000000"/>
                <w:szCs w:val="24"/>
              </w:rPr>
              <w:t>4</w:t>
            </w:r>
          </w:p>
        </w:tc>
      </w:tr>
      <w:tr w:rsidR="002E56B6" w:rsidRPr="00DC2721" w14:paraId="425BC401" w14:textId="77777777" w:rsidTr="002E56B6">
        <w:trPr>
          <w:trHeight w:val="315"/>
        </w:trPr>
        <w:tc>
          <w:tcPr>
            <w:tcW w:w="3330" w:type="dxa"/>
            <w:tcBorders>
              <w:top w:val="nil"/>
              <w:left w:val="nil"/>
              <w:bottom w:val="nil"/>
              <w:right w:val="nil"/>
            </w:tcBorders>
            <w:shd w:val="clear" w:color="auto" w:fill="auto"/>
            <w:noWrap/>
            <w:vAlign w:val="bottom"/>
            <w:hideMark/>
          </w:tcPr>
          <w:p w14:paraId="50EEF119" w14:textId="77777777" w:rsidR="002E56B6" w:rsidRPr="00DC2721" w:rsidRDefault="002E56B6" w:rsidP="002E56B6">
            <w:pPr>
              <w:rPr>
                <w:rFonts w:eastAsia="Times New Roman"/>
                <w:color w:val="000000"/>
                <w:szCs w:val="24"/>
              </w:rPr>
            </w:pPr>
            <w:r w:rsidRPr="00DC2721">
              <w:rPr>
                <w:rFonts w:eastAsia="Times New Roman"/>
                <w:color w:val="000000"/>
                <w:szCs w:val="24"/>
              </w:rPr>
              <w:t>Employee BLM</w:t>
            </w:r>
            <w:r w:rsidRPr="00DC2721">
              <w:rPr>
                <w:rFonts w:eastAsia="Times New Roman"/>
                <w:color w:val="000000"/>
                <w:szCs w:val="24"/>
                <w:vertAlign w:val="superscript"/>
              </w:rPr>
              <w:t>a</w:t>
            </w:r>
          </w:p>
        </w:tc>
        <w:tc>
          <w:tcPr>
            <w:tcW w:w="1130" w:type="dxa"/>
            <w:tcBorders>
              <w:top w:val="nil"/>
              <w:left w:val="nil"/>
              <w:bottom w:val="nil"/>
              <w:right w:val="nil"/>
            </w:tcBorders>
            <w:shd w:val="clear" w:color="auto" w:fill="auto"/>
            <w:noWrap/>
            <w:vAlign w:val="bottom"/>
            <w:hideMark/>
          </w:tcPr>
          <w:p w14:paraId="79A4361A" w14:textId="2B2C9FF9" w:rsidR="002E56B6" w:rsidRPr="00DC2721" w:rsidRDefault="002E56B6" w:rsidP="002E56B6">
            <w:pPr>
              <w:tabs>
                <w:tab w:val="decimal" w:pos="270"/>
              </w:tabs>
              <w:rPr>
                <w:rFonts w:eastAsia="Times New Roman"/>
                <w:color w:val="000000"/>
                <w:szCs w:val="24"/>
              </w:rPr>
            </w:pPr>
            <w:r w:rsidRPr="00DC2721">
              <w:rPr>
                <w:rFonts w:eastAsia="Times New Roman"/>
                <w:color w:val="000000"/>
                <w:szCs w:val="24"/>
              </w:rPr>
              <w:t>0.1</w:t>
            </w:r>
            <w:r w:rsidR="00D224D7">
              <w:rPr>
                <w:rFonts w:eastAsia="Times New Roman"/>
                <w:color w:val="000000"/>
                <w:szCs w:val="24"/>
              </w:rPr>
              <w:t>0</w:t>
            </w:r>
          </w:p>
        </w:tc>
        <w:tc>
          <w:tcPr>
            <w:tcW w:w="990" w:type="dxa"/>
            <w:tcBorders>
              <w:top w:val="nil"/>
              <w:left w:val="nil"/>
              <w:bottom w:val="nil"/>
              <w:right w:val="nil"/>
            </w:tcBorders>
            <w:shd w:val="clear" w:color="auto" w:fill="auto"/>
            <w:noWrap/>
            <w:vAlign w:val="bottom"/>
            <w:hideMark/>
          </w:tcPr>
          <w:p w14:paraId="2BBC8479" w14:textId="61A45F03" w:rsidR="002E56B6" w:rsidRPr="00DC2721" w:rsidRDefault="002E56B6" w:rsidP="002E56B6">
            <w:pPr>
              <w:jc w:val="center"/>
              <w:rPr>
                <w:rFonts w:eastAsia="Times New Roman"/>
                <w:color w:val="000000"/>
                <w:szCs w:val="24"/>
              </w:rPr>
            </w:pPr>
            <w:r w:rsidRPr="00DC2721">
              <w:rPr>
                <w:rFonts w:eastAsia="Times New Roman"/>
                <w:color w:val="000000"/>
                <w:szCs w:val="24"/>
              </w:rPr>
              <w:t>0.0</w:t>
            </w:r>
            <w:r w:rsidR="00DC2721" w:rsidRPr="00DC2721">
              <w:rPr>
                <w:rFonts w:eastAsia="Times New Roman"/>
                <w:color w:val="000000"/>
                <w:szCs w:val="24"/>
              </w:rPr>
              <w:t>9</w:t>
            </w:r>
          </w:p>
        </w:tc>
        <w:tc>
          <w:tcPr>
            <w:tcW w:w="1350" w:type="dxa"/>
            <w:tcBorders>
              <w:top w:val="nil"/>
              <w:left w:val="nil"/>
              <w:bottom w:val="nil"/>
              <w:right w:val="nil"/>
            </w:tcBorders>
            <w:shd w:val="clear" w:color="auto" w:fill="auto"/>
            <w:noWrap/>
            <w:vAlign w:val="bottom"/>
            <w:hideMark/>
          </w:tcPr>
          <w:p w14:paraId="7A32E7B3" w14:textId="77777777" w:rsidR="002E56B6" w:rsidRPr="00DC2721" w:rsidRDefault="002E56B6" w:rsidP="002E56B6">
            <w:pPr>
              <w:tabs>
                <w:tab w:val="decimal" w:pos="405"/>
              </w:tabs>
              <w:jc w:val="center"/>
              <w:rPr>
                <w:rFonts w:eastAsia="Times New Roman"/>
                <w:color w:val="000000"/>
                <w:szCs w:val="24"/>
              </w:rPr>
            </w:pPr>
          </w:p>
        </w:tc>
        <w:tc>
          <w:tcPr>
            <w:tcW w:w="1530" w:type="dxa"/>
            <w:tcBorders>
              <w:top w:val="nil"/>
              <w:left w:val="nil"/>
              <w:bottom w:val="nil"/>
              <w:right w:val="nil"/>
            </w:tcBorders>
            <w:shd w:val="clear" w:color="auto" w:fill="auto"/>
            <w:noWrap/>
            <w:vAlign w:val="bottom"/>
            <w:hideMark/>
          </w:tcPr>
          <w:p w14:paraId="0DEFC4C0" w14:textId="77777777" w:rsidR="002E56B6" w:rsidRPr="00DC2721" w:rsidRDefault="002E56B6" w:rsidP="002E56B6">
            <w:pPr>
              <w:rPr>
                <w:rFonts w:eastAsia="Times New Roman"/>
                <w:sz w:val="20"/>
                <w:szCs w:val="20"/>
              </w:rPr>
            </w:pPr>
          </w:p>
        </w:tc>
      </w:tr>
      <w:tr w:rsidR="002E56B6" w:rsidRPr="00DC2721" w14:paraId="034C41DE" w14:textId="77777777" w:rsidTr="002E56B6">
        <w:trPr>
          <w:trHeight w:val="315"/>
        </w:trPr>
        <w:tc>
          <w:tcPr>
            <w:tcW w:w="3330" w:type="dxa"/>
            <w:tcBorders>
              <w:top w:val="nil"/>
              <w:left w:val="nil"/>
              <w:bottom w:val="nil"/>
              <w:right w:val="nil"/>
            </w:tcBorders>
            <w:shd w:val="clear" w:color="auto" w:fill="auto"/>
            <w:noWrap/>
            <w:vAlign w:val="bottom"/>
            <w:hideMark/>
          </w:tcPr>
          <w:p w14:paraId="557B346D" w14:textId="77777777" w:rsidR="002E56B6" w:rsidRPr="00DC2721" w:rsidRDefault="002E56B6" w:rsidP="002E56B6">
            <w:pPr>
              <w:rPr>
                <w:rFonts w:eastAsia="Times New Roman"/>
                <w:color w:val="000000"/>
                <w:szCs w:val="24"/>
              </w:rPr>
            </w:pPr>
            <w:r w:rsidRPr="00DC2721">
              <w:rPr>
                <w:rFonts w:eastAsia="Times New Roman"/>
                <w:color w:val="000000"/>
                <w:szCs w:val="24"/>
              </w:rPr>
              <w:t>SBLM × EBLM</w:t>
            </w:r>
          </w:p>
        </w:tc>
        <w:tc>
          <w:tcPr>
            <w:tcW w:w="1130" w:type="dxa"/>
            <w:tcBorders>
              <w:top w:val="nil"/>
              <w:left w:val="nil"/>
              <w:bottom w:val="nil"/>
              <w:right w:val="nil"/>
            </w:tcBorders>
            <w:shd w:val="clear" w:color="auto" w:fill="auto"/>
            <w:noWrap/>
            <w:vAlign w:val="bottom"/>
            <w:hideMark/>
          </w:tcPr>
          <w:p w14:paraId="7297202C" w14:textId="2E59978E" w:rsidR="002E56B6" w:rsidRPr="00DC2721" w:rsidRDefault="002E56B6" w:rsidP="002E56B6">
            <w:pPr>
              <w:tabs>
                <w:tab w:val="decimal" w:pos="270"/>
              </w:tabs>
              <w:rPr>
                <w:rFonts w:eastAsia="Times New Roman"/>
                <w:color w:val="000000"/>
                <w:szCs w:val="24"/>
              </w:rPr>
            </w:pPr>
            <w:r w:rsidRPr="00DC2721">
              <w:rPr>
                <w:rFonts w:eastAsia="Times New Roman"/>
                <w:color w:val="000000"/>
                <w:szCs w:val="24"/>
              </w:rPr>
              <w:t>0.</w:t>
            </w:r>
            <w:r w:rsidR="00DC2721" w:rsidRPr="00DC2721">
              <w:rPr>
                <w:rFonts w:eastAsia="Times New Roman"/>
                <w:color w:val="000000"/>
                <w:szCs w:val="24"/>
              </w:rPr>
              <w:t>11</w:t>
            </w:r>
            <w:r w:rsidRPr="00DC2721">
              <w:rPr>
                <w:rFonts w:eastAsia="Times New Roman"/>
                <w:color w:val="000000"/>
                <w:szCs w:val="24"/>
                <w:vertAlign w:val="superscript"/>
              </w:rPr>
              <w:t>*</w:t>
            </w:r>
          </w:p>
        </w:tc>
        <w:tc>
          <w:tcPr>
            <w:tcW w:w="990" w:type="dxa"/>
            <w:tcBorders>
              <w:top w:val="nil"/>
              <w:left w:val="nil"/>
              <w:bottom w:val="nil"/>
              <w:right w:val="nil"/>
            </w:tcBorders>
            <w:shd w:val="clear" w:color="auto" w:fill="auto"/>
            <w:noWrap/>
            <w:vAlign w:val="bottom"/>
            <w:hideMark/>
          </w:tcPr>
          <w:p w14:paraId="2ABA2B60" w14:textId="5016B142" w:rsidR="002E56B6" w:rsidRPr="00DC2721" w:rsidRDefault="002E56B6" w:rsidP="002E56B6">
            <w:pPr>
              <w:jc w:val="center"/>
              <w:rPr>
                <w:rFonts w:eastAsia="Times New Roman"/>
                <w:color w:val="000000"/>
                <w:szCs w:val="24"/>
              </w:rPr>
            </w:pPr>
            <w:r w:rsidRPr="00DC2721">
              <w:rPr>
                <w:rFonts w:eastAsia="Times New Roman"/>
                <w:color w:val="000000"/>
                <w:szCs w:val="24"/>
              </w:rPr>
              <w:t>0.0</w:t>
            </w:r>
            <w:r w:rsidR="00DC2721" w:rsidRPr="00DC2721">
              <w:rPr>
                <w:rFonts w:eastAsia="Times New Roman"/>
                <w:color w:val="000000"/>
                <w:szCs w:val="24"/>
              </w:rPr>
              <w:t>4</w:t>
            </w:r>
          </w:p>
        </w:tc>
        <w:tc>
          <w:tcPr>
            <w:tcW w:w="1350" w:type="dxa"/>
            <w:tcBorders>
              <w:top w:val="nil"/>
              <w:left w:val="nil"/>
              <w:bottom w:val="nil"/>
              <w:right w:val="nil"/>
            </w:tcBorders>
            <w:shd w:val="clear" w:color="auto" w:fill="auto"/>
            <w:noWrap/>
            <w:vAlign w:val="bottom"/>
            <w:hideMark/>
          </w:tcPr>
          <w:p w14:paraId="431ED139" w14:textId="77777777" w:rsidR="002E56B6" w:rsidRPr="00DC2721" w:rsidRDefault="002E56B6" w:rsidP="002E56B6">
            <w:pPr>
              <w:tabs>
                <w:tab w:val="decimal" w:pos="405"/>
              </w:tabs>
              <w:jc w:val="center"/>
              <w:rPr>
                <w:rFonts w:eastAsia="Times New Roman"/>
                <w:color w:val="000000"/>
                <w:szCs w:val="24"/>
              </w:rPr>
            </w:pPr>
          </w:p>
        </w:tc>
        <w:tc>
          <w:tcPr>
            <w:tcW w:w="1530" w:type="dxa"/>
            <w:tcBorders>
              <w:top w:val="nil"/>
              <w:left w:val="nil"/>
              <w:bottom w:val="nil"/>
              <w:right w:val="nil"/>
            </w:tcBorders>
            <w:shd w:val="clear" w:color="auto" w:fill="auto"/>
            <w:noWrap/>
            <w:vAlign w:val="bottom"/>
            <w:hideMark/>
          </w:tcPr>
          <w:p w14:paraId="104D5F43" w14:textId="77777777" w:rsidR="002E56B6" w:rsidRPr="00DC2721" w:rsidRDefault="002E56B6" w:rsidP="002E56B6">
            <w:pPr>
              <w:rPr>
                <w:rFonts w:eastAsia="Times New Roman"/>
                <w:sz w:val="20"/>
                <w:szCs w:val="20"/>
              </w:rPr>
            </w:pPr>
          </w:p>
        </w:tc>
      </w:tr>
      <w:tr w:rsidR="002E56B6" w:rsidRPr="00DC2721" w14:paraId="5B2ADD24" w14:textId="77777777" w:rsidTr="002E56B6">
        <w:trPr>
          <w:trHeight w:val="315"/>
        </w:trPr>
        <w:tc>
          <w:tcPr>
            <w:tcW w:w="3330" w:type="dxa"/>
            <w:tcBorders>
              <w:top w:val="nil"/>
              <w:left w:val="nil"/>
              <w:right w:val="nil"/>
            </w:tcBorders>
            <w:shd w:val="clear" w:color="auto" w:fill="auto"/>
            <w:noWrap/>
            <w:vAlign w:val="bottom"/>
            <w:hideMark/>
          </w:tcPr>
          <w:p w14:paraId="1F87A1CA" w14:textId="0A439DD5" w:rsidR="002E56B6" w:rsidRPr="00DC2721" w:rsidRDefault="002E56B6" w:rsidP="002E56B6">
            <w:pPr>
              <w:rPr>
                <w:rFonts w:eastAsia="Times New Roman"/>
                <w:color w:val="000000"/>
                <w:szCs w:val="24"/>
              </w:rPr>
            </w:pPr>
            <w:r w:rsidRPr="00DC2721">
              <w:rPr>
                <w:rFonts w:eastAsia="Times New Roman"/>
                <w:color w:val="000000"/>
                <w:szCs w:val="24"/>
              </w:rPr>
              <w:t>LM</w:t>
            </w:r>
            <w:r w:rsidR="00DC2721" w:rsidRPr="00DC2721">
              <w:rPr>
                <w:rFonts w:eastAsia="Times New Roman"/>
                <w:color w:val="000000"/>
                <w:szCs w:val="24"/>
              </w:rPr>
              <w:t>S</w:t>
            </w:r>
            <w:r w:rsidRPr="00DC2721">
              <w:rPr>
                <w:rFonts w:eastAsia="Times New Roman"/>
                <w:color w:val="000000"/>
                <w:szCs w:val="24"/>
              </w:rPr>
              <w:t>X</w:t>
            </w:r>
          </w:p>
        </w:tc>
        <w:tc>
          <w:tcPr>
            <w:tcW w:w="1130" w:type="dxa"/>
            <w:tcBorders>
              <w:top w:val="nil"/>
              <w:left w:val="nil"/>
              <w:bottom w:val="nil"/>
              <w:right w:val="nil"/>
            </w:tcBorders>
            <w:shd w:val="clear" w:color="auto" w:fill="auto"/>
            <w:noWrap/>
            <w:vAlign w:val="bottom"/>
            <w:hideMark/>
          </w:tcPr>
          <w:p w14:paraId="31568872" w14:textId="77777777" w:rsidR="002E56B6" w:rsidRPr="00DC2721" w:rsidRDefault="002E56B6" w:rsidP="002E56B6">
            <w:pPr>
              <w:tabs>
                <w:tab w:val="decimal" w:pos="270"/>
              </w:tabs>
              <w:rPr>
                <w:rFonts w:eastAsia="Times New Roman"/>
                <w:color w:val="000000"/>
                <w:szCs w:val="24"/>
              </w:rPr>
            </w:pPr>
          </w:p>
        </w:tc>
        <w:tc>
          <w:tcPr>
            <w:tcW w:w="990" w:type="dxa"/>
            <w:tcBorders>
              <w:top w:val="nil"/>
              <w:left w:val="nil"/>
              <w:bottom w:val="nil"/>
              <w:right w:val="nil"/>
            </w:tcBorders>
            <w:shd w:val="clear" w:color="auto" w:fill="auto"/>
            <w:noWrap/>
            <w:vAlign w:val="bottom"/>
            <w:hideMark/>
          </w:tcPr>
          <w:p w14:paraId="5FBD4186" w14:textId="77777777" w:rsidR="002E56B6" w:rsidRPr="00DC2721" w:rsidRDefault="002E56B6" w:rsidP="002E56B6">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7A878FC9" w14:textId="766A9C30" w:rsidR="002E56B6" w:rsidRPr="00DC2721" w:rsidRDefault="002E56B6" w:rsidP="002E56B6">
            <w:pPr>
              <w:tabs>
                <w:tab w:val="decimal" w:pos="405"/>
              </w:tabs>
              <w:rPr>
                <w:rFonts w:eastAsia="Times New Roman"/>
                <w:color w:val="000000"/>
                <w:szCs w:val="24"/>
              </w:rPr>
            </w:pPr>
            <w:r w:rsidRPr="00DC2721">
              <w:rPr>
                <w:rFonts w:eastAsia="Times New Roman"/>
                <w:color w:val="000000"/>
                <w:szCs w:val="24"/>
              </w:rPr>
              <w:t>0.1</w:t>
            </w:r>
            <w:r w:rsidR="00D224D7">
              <w:rPr>
                <w:rFonts w:eastAsia="Times New Roman"/>
                <w:color w:val="000000"/>
                <w:szCs w:val="24"/>
              </w:rPr>
              <w:t>8</w:t>
            </w:r>
            <w:r w:rsidR="00DC2721" w:rsidRPr="00DC2721">
              <w:rPr>
                <w:rFonts w:eastAsia="Times New Roman"/>
                <w:color w:val="000000"/>
                <w:szCs w:val="24"/>
                <w:vertAlign w:val="superscript"/>
              </w:rPr>
              <w:t>**</w:t>
            </w:r>
            <w:r w:rsidRPr="00DC2721">
              <w:rPr>
                <w:rFonts w:eastAsia="Times New Roman"/>
                <w:color w:val="000000"/>
                <w:szCs w:val="24"/>
                <w:vertAlign w:val="superscript"/>
              </w:rPr>
              <w:t>*</w:t>
            </w:r>
          </w:p>
        </w:tc>
        <w:tc>
          <w:tcPr>
            <w:tcW w:w="1530" w:type="dxa"/>
            <w:tcBorders>
              <w:top w:val="nil"/>
              <w:left w:val="nil"/>
              <w:bottom w:val="nil"/>
              <w:right w:val="nil"/>
            </w:tcBorders>
            <w:shd w:val="clear" w:color="auto" w:fill="auto"/>
            <w:noWrap/>
            <w:vAlign w:val="bottom"/>
            <w:hideMark/>
          </w:tcPr>
          <w:p w14:paraId="3DA4179E" w14:textId="00929B1F" w:rsidR="002E56B6" w:rsidRPr="00DC2721" w:rsidRDefault="002E56B6" w:rsidP="002E56B6">
            <w:pPr>
              <w:jc w:val="center"/>
              <w:rPr>
                <w:rFonts w:eastAsia="Times New Roman"/>
                <w:color w:val="000000"/>
                <w:szCs w:val="24"/>
              </w:rPr>
            </w:pPr>
            <w:r w:rsidRPr="00DC2721">
              <w:rPr>
                <w:rFonts w:eastAsia="Times New Roman"/>
                <w:color w:val="000000"/>
                <w:szCs w:val="24"/>
              </w:rPr>
              <w:t>0.0</w:t>
            </w:r>
            <w:r w:rsidR="00DC2721" w:rsidRPr="00DC2721">
              <w:rPr>
                <w:rFonts w:eastAsia="Times New Roman"/>
                <w:color w:val="000000"/>
                <w:szCs w:val="24"/>
              </w:rPr>
              <w:t>5</w:t>
            </w:r>
          </w:p>
        </w:tc>
      </w:tr>
      <w:tr w:rsidR="002E56B6" w:rsidRPr="00DC2721" w14:paraId="08385D1C" w14:textId="77777777" w:rsidTr="002E56B6">
        <w:trPr>
          <w:trHeight w:val="315"/>
        </w:trPr>
        <w:tc>
          <w:tcPr>
            <w:tcW w:w="3330" w:type="dxa"/>
            <w:tcBorders>
              <w:top w:val="nil"/>
              <w:left w:val="nil"/>
              <w:bottom w:val="single" w:sz="4" w:space="0" w:color="auto"/>
              <w:right w:val="nil"/>
            </w:tcBorders>
            <w:shd w:val="clear" w:color="auto" w:fill="auto"/>
            <w:noWrap/>
            <w:vAlign w:val="bottom"/>
            <w:hideMark/>
          </w:tcPr>
          <w:p w14:paraId="39D9754C" w14:textId="77777777" w:rsidR="002E56B6" w:rsidRPr="00DC2721" w:rsidRDefault="002E56B6" w:rsidP="002E56B6">
            <w:pPr>
              <w:rPr>
                <w:rFonts w:eastAsia="Times New Roman"/>
                <w:i/>
                <w:color w:val="000000"/>
                <w:szCs w:val="24"/>
              </w:rPr>
            </w:pPr>
            <w:r w:rsidRPr="00DC2721">
              <w:rPr>
                <w:rFonts w:eastAsia="Times New Roman"/>
                <w:i/>
                <w:color w:val="000000"/>
                <w:szCs w:val="24"/>
              </w:rPr>
              <w:t>R</w:t>
            </w:r>
            <w:r w:rsidRPr="00DC2721">
              <w:rPr>
                <w:rFonts w:eastAsia="Times New Roman"/>
                <w:i/>
                <w:color w:val="000000"/>
                <w:szCs w:val="24"/>
                <w:vertAlign w:val="superscript"/>
              </w:rPr>
              <w:t>2</w:t>
            </w:r>
          </w:p>
        </w:tc>
        <w:tc>
          <w:tcPr>
            <w:tcW w:w="1130" w:type="dxa"/>
            <w:tcBorders>
              <w:top w:val="nil"/>
              <w:left w:val="nil"/>
              <w:bottom w:val="nil"/>
              <w:right w:val="nil"/>
            </w:tcBorders>
            <w:shd w:val="clear" w:color="auto" w:fill="auto"/>
            <w:noWrap/>
            <w:vAlign w:val="bottom"/>
            <w:hideMark/>
          </w:tcPr>
          <w:p w14:paraId="6675C471" w14:textId="6408472A" w:rsidR="002E56B6" w:rsidRPr="00DC2721" w:rsidRDefault="002E56B6" w:rsidP="002E56B6">
            <w:pPr>
              <w:tabs>
                <w:tab w:val="decimal" w:pos="270"/>
              </w:tabs>
              <w:rPr>
                <w:rFonts w:eastAsia="Times New Roman"/>
                <w:color w:val="000000"/>
                <w:szCs w:val="24"/>
              </w:rPr>
            </w:pPr>
            <w:r w:rsidRPr="00DC2721">
              <w:rPr>
                <w:rFonts w:eastAsia="Times New Roman"/>
                <w:color w:val="000000"/>
                <w:szCs w:val="24"/>
              </w:rPr>
              <w:t>0.</w:t>
            </w:r>
            <w:r w:rsidR="00DC2721" w:rsidRPr="00DC2721">
              <w:rPr>
                <w:rFonts w:eastAsia="Times New Roman"/>
                <w:color w:val="000000"/>
                <w:szCs w:val="24"/>
              </w:rPr>
              <w:t>0</w:t>
            </w:r>
            <w:r w:rsidR="00D224D7">
              <w:rPr>
                <w:rFonts w:eastAsia="Times New Roman"/>
                <w:color w:val="000000"/>
                <w:szCs w:val="24"/>
              </w:rPr>
              <w:t>7</w:t>
            </w:r>
            <w:r w:rsidRPr="00DC2721">
              <w:rPr>
                <w:rFonts w:eastAsia="Times New Roman"/>
                <w:color w:val="000000"/>
                <w:szCs w:val="24"/>
                <w:vertAlign w:val="superscript"/>
              </w:rPr>
              <w:t>**</w:t>
            </w:r>
          </w:p>
        </w:tc>
        <w:tc>
          <w:tcPr>
            <w:tcW w:w="990" w:type="dxa"/>
            <w:tcBorders>
              <w:top w:val="nil"/>
              <w:left w:val="nil"/>
              <w:bottom w:val="nil"/>
              <w:right w:val="nil"/>
            </w:tcBorders>
            <w:shd w:val="clear" w:color="auto" w:fill="auto"/>
            <w:noWrap/>
            <w:vAlign w:val="bottom"/>
            <w:hideMark/>
          </w:tcPr>
          <w:p w14:paraId="4EFE091A" w14:textId="77777777" w:rsidR="002E56B6" w:rsidRPr="00DC2721" w:rsidRDefault="002E56B6" w:rsidP="002E56B6">
            <w:pPr>
              <w:rPr>
                <w:rFonts w:eastAsia="Times New Roman"/>
                <w:color w:val="000000"/>
                <w:szCs w:val="24"/>
              </w:rPr>
            </w:pPr>
          </w:p>
        </w:tc>
        <w:tc>
          <w:tcPr>
            <w:tcW w:w="1350" w:type="dxa"/>
            <w:tcBorders>
              <w:top w:val="nil"/>
              <w:left w:val="nil"/>
              <w:bottom w:val="nil"/>
              <w:right w:val="nil"/>
            </w:tcBorders>
            <w:shd w:val="clear" w:color="auto" w:fill="auto"/>
            <w:noWrap/>
            <w:vAlign w:val="bottom"/>
            <w:hideMark/>
          </w:tcPr>
          <w:p w14:paraId="02B0136D" w14:textId="31ACA22A" w:rsidR="002E56B6" w:rsidRPr="00DC2721" w:rsidRDefault="002E56B6" w:rsidP="002E56B6">
            <w:pPr>
              <w:tabs>
                <w:tab w:val="decimal" w:pos="405"/>
              </w:tabs>
              <w:rPr>
                <w:rFonts w:eastAsia="Times New Roman"/>
                <w:color w:val="000000"/>
                <w:szCs w:val="24"/>
              </w:rPr>
            </w:pPr>
            <w:r w:rsidRPr="00DC2721">
              <w:rPr>
                <w:rFonts w:eastAsia="Times New Roman"/>
                <w:color w:val="000000"/>
                <w:szCs w:val="24"/>
              </w:rPr>
              <w:t>0.</w:t>
            </w:r>
            <w:r w:rsidR="00D224D7">
              <w:rPr>
                <w:rFonts w:eastAsia="Times New Roman"/>
                <w:color w:val="000000"/>
                <w:szCs w:val="24"/>
              </w:rPr>
              <w:t>07</w:t>
            </w:r>
            <w:r w:rsidR="00DC2721" w:rsidRPr="00DC2721">
              <w:rPr>
                <w:rFonts w:eastAsia="Times New Roman"/>
                <w:color w:val="000000"/>
                <w:szCs w:val="24"/>
                <w:vertAlign w:val="superscript"/>
              </w:rPr>
              <w:t>**</w:t>
            </w:r>
            <w:r w:rsidRPr="00DC2721">
              <w:rPr>
                <w:rFonts w:eastAsia="Times New Roman"/>
                <w:color w:val="000000"/>
                <w:szCs w:val="24"/>
                <w:vertAlign w:val="superscript"/>
              </w:rPr>
              <w:t>*</w:t>
            </w:r>
          </w:p>
        </w:tc>
        <w:tc>
          <w:tcPr>
            <w:tcW w:w="1530" w:type="dxa"/>
            <w:tcBorders>
              <w:top w:val="nil"/>
              <w:left w:val="nil"/>
              <w:bottom w:val="nil"/>
              <w:right w:val="nil"/>
            </w:tcBorders>
            <w:shd w:val="clear" w:color="auto" w:fill="auto"/>
            <w:noWrap/>
            <w:vAlign w:val="bottom"/>
            <w:hideMark/>
          </w:tcPr>
          <w:p w14:paraId="37E5DC12" w14:textId="77777777" w:rsidR="002E56B6" w:rsidRPr="00DC2721" w:rsidRDefault="002E56B6" w:rsidP="002E56B6">
            <w:pPr>
              <w:rPr>
                <w:rFonts w:eastAsia="Times New Roman"/>
                <w:color w:val="000000"/>
                <w:szCs w:val="24"/>
              </w:rPr>
            </w:pPr>
          </w:p>
        </w:tc>
      </w:tr>
      <w:tr w:rsidR="002E56B6" w:rsidRPr="00DC2721" w14:paraId="02B15D98" w14:textId="77777777" w:rsidTr="002E56B6">
        <w:trPr>
          <w:trHeight w:val="315"/>
        </w:trPr>
        <w:tc>
          <w:tcPr>
            <w:tcW w:w="3330" w:type="dxa"/>
            <w:tcBorders>
              <w:top w:val="single" w:sz="4" w:space="0" w:color="auto"/>
              <w:left w:val="nil"/>
              <w:bottom w:val="single" w:sz="4" w:space="0" w:color="auto"/>
              <w:right w:val="nil"/>
            </w:tcBorders>
            <w:shd w:val="clear" w:color="auto" w:fill="auto"/>
            <w:noWrap/>
            <w:vAlign w:val="bottom"/>
            <w:hideMark/>
          </w:tcPr>
          <w:p w14:paraId="7558B8FC" w14:textId="5F0AA801" w:rsidR="002E56B6" w:rsidRPr="00DC2721" w:rsidRDefault="002E56B6" w:rsidP="002E56B6">
            <w:pPr>
              <w:jc w:val="center"/>
              <w:rPr>
                <w:rFonts w:eastAsia="Times New Roman"/>
                <w:color w:val="000000"/>
                <w:szCs w:val="24"/>
              </w:rPr>
            </w:pPr>
            <w:r w:rsidRPr="00DC2721">
              <w:rPr>
                <w:rFonts w:eastAsia="Times New Roman"/>
                <w:color w:val="000000"/>
                <w:szCs w:val="24"/>
              </w:rPr>
              <w:t>Mediator: LM</w:t>
            </w:r>
            <w:r w:rsidR="00DC2721" w:rsidRPr="00DC2721">
              <w:rPr>
                <w:rFonts w:eastAsia="Times New Roman"/>
                <w:color w:val="000000"/>
                <w:szCs w:val="24"/>
              </w:rPr>
              <w:t>S</w:t>
            </w:r>
            <w:r w:rsidRPr="00DC2721">
              <w:rPr>
                <w:rFonts w:eastAsia="Times New Roman"/>
                <w:color w:val="000000"/>
                <w:szCs w:val="24"/>
              </w:rPr>
              <w:t>X</w:t>
            </w:r>
          </w:p>
        </w:tc>
        <w:tc>
          <w:tcPr>
            <w:tcW w:w="1130" w:type="dxa"/>
            <w:tcBorders>
              <w:top w:val="single" w:sz="4" w:space="0" w:color="auto"/>
              <w:left w:val="nil"/>
              <w:bottom w:val="single" w:sz="4" w:space="0" w:color="auto"/>
              <w:right w:val="nil"/>
            </w:tcBorders>
            <w:shd w:val="clear" w:color="auto" w:fill="auto"/>
            <w:noWrap/>
            <w:vAlign w:val="bottom"/>
            <w:hideMark/>
          </w:tcPr>
          <w:p w14:paraId="67BD9621"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 </w:t>
            </w:r>
          </w:p>
        </w:tc>
        <w:tc>
          <w:tcPr>
            <w:tcW w:w="990" w:type="dxa"/>
            <w:tcBorders>
              <w:top w:val="single" w:sz="4" w:space="0" w:color="auto"/>
              <w:left w:val="nil"/>
              <w:bottom w:val="single" w:sz="4" w:space="0" w:color="auto"/>
              <w:right w:val="nil"/>
            </w:tcBorders>
            <w:shd w:val="clear" w:color="auto" w:fill="auto"/>
            <w:noWrap/>
            <w:vAlign w:val="bottom"/>
            <w:hideMark/>
          </w:tcPr>
          <w:p w14:paraId="6F35501E"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 </w:t>
            </w:r>
          </w:p>
        </w:tc>
        <w:tc>
          <w:tcPr>
            <w:tcW w:w="1350" w:type="dxa"/>
            <w:tcBorders>
              <w:top w:val="single" w:sz="4" w:space="0" w:color="auto"/>
              <w:left w:val="nil"/>
              <w:bottom w:val="single" w:sz="4" w:space="0" w:color="auto"/>
              <w:right w:val="nil"/>
            </w:tcBorders>
            <w:shd w:val="clear" w:color="auto" w:fill="auto"/>
            <w:noWrap/>
            <w:vAlign w:val="bottom"/>
            <w:hideMark/>
          </w:tcPr>
          <w:p w14:paraId="6B4F90D2"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Effect (SE)</w:t>
            </w:r>
          </w:p>
        </w:tc>
        <w:tc>
          <w:tcPr>
            <w:tcW w:w="1530" w:type="dxa"/>
            <w:tcBorders>
              <w:top w:val="single" w:sz="4" w:space="0" w:color="auto"/>
              <w:left w:val="nil"/>
              <w:bottom w:val="single" w:sz="4" w:space="0" w:color="auto"/>
              <w:right w:val="nil"/>
            </w:tcBorders>
            <w:shd w:val="clear" w:color="auto" w:fill="auto"/>
            <w:noWrap/>
            <w:vAlign w:val="bottom"/>
            <w:hideMark/>
          </w:tcPr>
          <w:p w14:paraId="6673C74A"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CI</w:t>
            </w:r>
          </w:p>
        </w:tc>
      </w:tr>
      <w:tr w:rsidR="002E56B6" w:rsidRPr="00DC2721" w14:paraId="27ECA161" w14:textId="77777777" w:rsidTr="002E56B6">
        <w:trPr>
          <w:trHeight w:val="315"/>
        </w:trPr>
        <w:tc>
          <w:tcPr>
            <w:tcW w:w="3330" w:type="dxa"/>
            <w:tcBorders>
              <w:top w:val="nil"/>
              <w:left w:val="nil"/>
              <w:bottom w:val="nil"/>
              <w:right w:val="nil"/>
            </w:tcBorders>
            <w:shd w:val="clear" w:color="auto" w:fill="auto"/>
            <w:noWrap/>
            <w:vAlign w:val="bottom"/>
            <w:hideMark/>
          </w:tcPr>
          <w:p w14:paraId="69603F6C"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-1 SD Employee BLM</w:t>
            </w:r>
          </w:p>
        </w:tc>
        <w:tc>
          <w:tcPr>
            <w:tcW w:w="1130" w:type="dxa"/>
            <w:tcBorders>
              <w:top w:val="nil"/>
              <w:left w:val="nil"/>
              <w:bottom w:val="nil"/>
              <w:right w:val="nil"/>
            </w:tcBorders>
            <w:shd w:val="clear" w:color="auto" w:fill="auto"/>
            <w:noWrap/>
            <w:vAlign w:val="bottom"/>
            <w:hideMark/>
          </w:tcPr>
          <w:p w14:paraId="2C6DFCB6" w14:textId="77777777" w:rsidR="002E56B6" w:rsidRPr="00DC2721" w:rsidRDefault="002E56B6" w:rsidP="002E56B6">
            <w:pPr>
              <w:jc w:val="center"/>
              <w:rPr>
                <w:rFonts w:eastAsia="Times New Roman"/>
                <w:color w:val="000000"/>
                <w:szCs w:val="24"/>
              </w:rPr>
            </w:pPr>
          </w:p>
        </w:tc>
        <w:tc>
          <w:tcPr>
            <w:tcW w:w="990" w:type="dxa"/>
            <w:tcBorders>
              <w:top w:val="nil"/>
              <w:left w:val="nil"/>
              <w:bottom w:val="nil"/>
              <w:right w:val="nil"/>
            </w:tcBorders>
            <w:shd w:val="clear" w:color="auto" w:fill="auto"/>
            <w:noWrap/>
            <w:vAlign w:val="bottom"/>
            <w:hideMark/>
          </w:tcPr>
          <w:p w14:paraId="1284A0DF" w14:textId="77777777" w:rsidR="002E56B6" w:rsidRPr="00DC2721" w:rsidRDefault="002E56B6" w:rsidP="002E56B6">
            <w:pPr>
              <w:jc w:val="cente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051C3AD2" w14:textId="3FC52E7F" w:rsidR="002E56B6" w:rsidRPr="00DC2721" w:rsidRDefault="002E56B6" w:rsidP="002E56B6">
            <w:pPr>
              <w:tabs>
                <w:tab w:val="decimal" w:pos="435"/>
              </w:tabs>
              <w:rPr>
                <w:rFonts w:eastAsia="Times New Roman"/>
                <w:color w:val="000000"/>
                <w:szCs w:val="24"/>
              </w:rPr>
            </w:pPr>
            <w:r w:rsidRPr="00DC2721">
              <w:rPr>
                <w:rFonts w:eastAsia="Times New Roman"/>
                <w:color w:val="000000"/>
                <w:szCs w:val="24"/>
              </w:rPr>
              <w:t>-0.0</w:t>
            </w:r>
            <w:r w:rsidR="00DC2721" w:rsidRPr="00DC2721">
              <w:rPr>
                <w:rFonts w:eastAsia="Times New Roman"/>
                <w:color w:val="000000"/>
                <w:szCs w:val="24"/>
              </w:rPr>
              <w:t>7</w:t>
            </w:r>
            <w:r w:rsidRPr="00DC2721">
              <w:rPr>
                <w:rFonts w:eastAsia="Times New Roman"/>
                <w:color w:val="000000"/>
                <w:szCs w:val="24"/>
              </w:rPr>
              <w:t xml:space="preserve"> (.03)</w:t>
            </w:r>
          </w:p>
        </w:tc>
        <w:tc>
          <w:tcPr>
            <w:tcW w:w="1530" w:type="dxa"/>
            <w:tcBorders>
              <w:top w:val="nil"/>
              <w:left w:val="nil"/>
              <w:bottom w:val="nil"/>
              <w:right w:val="nil"/>
            </w:tcBorders>
            <w:shd w:val="clear" w:color="auto" w:fill="auto"/>
            <w:noWrap/>
            <w:vAlign w:val="bottom"/>
            <w:hideMark/>
          </w:tcPr>
          <w:p w14:paraId="2709396C" w14:textId="42846D27" w:rsidR="002E56B6" w:rsidRPr="00DC2721" w:rsidRDefault="002E56B6" w:rsidP="002E56B6">
            <w:pPr>
              <w:jc w:val="right"/>
              <w:rPr>
                <w:rFonts w:eastAsia="Times New Roman"/>
                <w:color w:val="000000"/>
                <w:szCs w:val="24"/>
              </w:rPr>
            </w:pPr>
            <w:r w:rsidRPr="00DC2721">
              <w:rPr>
                <w:rFonts w:eastAsia="Times New Roman"/>
                <w:color w:val="000000"/>
                <w:szCs w:val="24"/>
              </w:rPr>
              <w:t>(-.1</w:t>
            </w:r>
            <w:r w:rsidR="00DC2721" w:rsidRPr="00DC2721">
              <w:rPr>
                <w:rFonts w:eastAsia="Times New Roman"/>
                <w:color w:val="000000"/>
                <w:szCs w:val="24"/>
              </w:rPr>
              <w:t>45</w:t>
            </w:r>
            <w:r w:rsidRPr="00DC2721">
              <w:rPr>
                <w:rFonts w:eastAsia="Times New Roman"/>
                <w:color w:val="000000"/>
                <w:szCs w:val="24"/>
              </w:rPr>
              <w:t>, -.0</w:t>
            </w:r>
            <w:r w:rsidR="00DC2721" w:rsidRPr="00DC2721">
              <w:rPr>
                <w:rFonts w:eastAsia="Times New Roman"/>
                <w:color w:val="000000"/>
                <w:szCs w:val="24"/>
              </w:rPr>
              <w:t>2</w:t>
            </w:r>
            <w:r w:rsidR="00D224D7">
              <w:rPr>
                <w:rFonts w:eastAsia="Times New Roman"/>
                <w:color w:val="000000"/>
                <w:szCs w:val="24"/>
              </w:rPr>
              <w:t>0</w:t>
            </w:r>
            <w:r w:rsidRPr="00DC2721">
              <w:rPr>
                <w:rFonts w:eastAsia="Times New Roman"/>
                <w:color w:val="000000"/>
                <w:szCs w:val="24"/>
              </w:rPr>
              <w:t>)</w:t>
            </w:r>
          </w:p>
        </w:tc>
      </w:tr>
      <w:tr w:rsidR="002E56B6" w:rsidRPr="00DC2721" w14:paraId="2C348CF2" w14:textId="77777777" w:rsidTr="002E56B6">
        <w:trPr>
          <w:trHeight w:val="315"/>
        </w:trPr>
        <w:tc>
          <w:tcPr>
            <w:tcW w:w="3330" w:type="dxa"/>
            <w:tcBorders>
              <w:top w:val="nil"/>
              <w:left w:val="nil"/>
              <w:bottom w:val="nil"/>
              <w:right w:val="nil"/>
            </w:tcBorders>
            <w:shd w:val="clear" w:color="auto" w:fill="auto"/>
            <w:noWrap/>
            <w:vAlign w:val="bottom"/>
            <w:hideMark/>
          </w:tcPr>
          <w:p w14:paraId="3BF7C21B"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Mean Employee BLM</w:t>
            </w:r>
          </w:p>
        </w:tc>
        <w:tc>
          <w:tcPr>
            <w:tcW w:w="1130" w:type="dxa"/>
            <w:tcBorders>
              <w:top w:val="nil"/>
              <w:left w:val="nil"/>
              <w:bottom w:val="nil"/>
              <w:right w:val="nil"/>
            </w:tcBorders>
            <w:shd w:val="clear" w:color="auto" w:fill="auto"/>
            <w:noWrap/>
            <w:vAlign w:val="bottom"/>
            <w:hideMark/>
          </w:tcPr>
          <w:p w14:paraId="2ADE64AB" w14:textId="77777777" w:rsidR="002E56B6" w:rsidRPr="00DC2721" w:rsidRDefault="002E56B6" w:rsidP="002E56B6">
            <w:pPr>
              <w:jc w:val="center"/>
              <w:rPr>
                <w:rFonts w:eastAsia="Times New Roman"/>
                <w:color w:val="000000"/>
                <w:szCs w:val="24"/>
              </w:rPr>
            </w:pPr>
          </w:p>
        </w:tc>
        <w:tc>
          <w:tcPr>
            <w:tcW w:w="990" w:type="dxa"/>
            <w:tcBorders>
              <w:top w:val="nil"/>
              <w:left w:val="nil"/>
              <w:bottom w:val="nil"/>
              <w:right w:val="nil"/>
            </w:tcBorders>
            <w:shd w:val="clear" w:color="auto" w:fill="auto"/>
            <w:noWrap/>
            <w:vAlign w:val="bottom"/>
            <w:hideMark/>
          </w:tcPr>
          <w:p w14:paraId="30C8CC50" w14:textId="77777777" w:rsidR="002E56B6" w:rsidRPr="00DC2721" w:rsidRDefault="002E56B6" w:rsidP="002E56B6">
            <w:pPr>
              <w:jc w:val="cente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2252EAE3" w14:textId="25D7BBCF" w:rsidR="002E56B6" w:rsidRPr="00DC2721" w:rsidRDefault="002E56B6" w:rsidP="002E56B6">
            <w:pPr>
              <w:tabs>
                <w:tab w:val="decimal" w:pos="435"/>
              </w:tabs>
              <w:rPr>
                <w:rFonts w:eastAsia="Times New Roman"/>
                <w:color w:val="000000"/>
                <w:szCs w:val="24"/>
              </w:rPr>
            </w:pPr>
            <w:r w:rsidRPr="00DC2721">
              <w:rPr>
                <w:rFonts w:eastAsia="Times New Roman"/>
                <w:color w:val="000000"/>
                <w:szCs w:val="24"/>
              </w:rPr>
              <w:t>-0.0</w:t>
            </w:r>
            <w:r w:rsidR="00DC2721" w:rsidRPr="00DC2721">
              <w:rPr>
                <w:rFonts w:eastAsia="Times New Roman"/>
                <w:color w:val="000000"/>
                <w:szCs w:val="24"/>
              </w:rPr>
              <w:t>5</w:t>
            </w:r>
            <w:r w:rsidRPr="00DC2721">
              <w:rPr>
                <w:rFonts w:eastAsia="Times New Roman"/>
                <w:color w:val="000000"/>
                <w:szCs w:val="24"/>
              </w:rPr>
              <w:t xml:space="preserve"> (.02)</w:t>
            </w:r>
          </w:p>
        </w:tc>
        <w:tc>
          <w:tcPr>
            <w:tcW w:w="1530" w:type="dxa"/>
            <w:tcBorders>
              <w:top w:val="nil"/>
              <w:left w:val="nil"/>
              <w:bottom w:val="nil"/>
              <w:right w:val="nil"/>
            </w:tcBorders>
            <w:shd w:val="clear" w:color="auto" w:fill="auto"/>
            <w:noWrap/>
            <w:vAlign w:val="bottom"/>
            <w:hideMark/>
          </w:tcPr>
          <w:p w14:paraId="6209C76D" w14:textId="0A00EE88" w:rsidR="002E56B6" w:rsidRPr="00DC2721" w:rsidRDefault="002E56B6" w:rsidP="002E56B6">
            <w:pPr>
              <w:jc w:val="right"/>
              <w:rPr>
                <w:rFonts w:eastAsia="Times New Roman"/>
                <w:color w:val="000000"/>
                <w:szCs w:val="24"/>
              </w:rPr>
            </w:pPr>
            <w:r w:rsidRPr="00DC2721">
              <w:rPr>
                <w:rFonts w:eastAsia="Times New Roman"/>
                <w:color w:val="000000"/>
                <w:szCs w:val="24"/>
              </w:rPr>
              <w:t>(-.</w:t>
            </w:r>
            <w:r w:rsidR="00DC2721" w:rsidRPr="00DC2721">
              <w:rPr>
                <w:rFonts w:eastAsia="Times New Roman"/>
                <w:color w:val="000000"/>
                <w:szCs w:val="24"/>
              </w:rPr>
              <w:t>10</w:t>
            </w:r>
            <w:r w:rsidR="00D224D7">
              <w:rPr>
                <w:rFonts w:eastAsia="Times New Roman"/>
                <w:color w:val="000000"/>
                <w:szCs w:val="24"/>
              </w:rPr>
              <w:t>4</w:t>
            </w:r>
            <w:r w:rsidRPr="00DC2721">
              <w:rPr>
                <w:rFonts w:eastAsia="Times New Roman"/>
                <w:color w:val="000000"/>
                <w:szCs w:val="24"/>
              </w:rPr>
              <w:t>, -.0</w:t>
            </w:r>
            <w:r w:rsidR="00DC2721" w:rsidRPr="00DC2721">
              <w:rPr>
                <w:rFonts w:eastAsia="Times New Roman"/>
                <w:color w:val="000000"/>
                <w:szCs w:val="24"/>
              </w:rPr>
              <w:t>12</w:t>
            </w:r>
            <w:r w:rsidRPr="00DC2721">
              <w:rPr>
                <w:rFonts w:eastAsia="Times New Roman"/>
                <w:color w:val="000000"/>
                <w:szCs w:val="24"/>
              </w:rPr>
              <w:t>)</w:t>
            </w:r>
          </w:p>
        </w:tc>
      </w:tr>
      <w:tr w:rsidR="002E56B6" w:rsidRPr="00DC2721" w14:paraId="3DA36356" w14:textId="77777777" w:rsidTr="002E56B6">
        <w:trPr>
          <w:trHeight w:val="315"/>
        </w:trPr>
        <w:tc>
          <w:tcPr>
            <w:tcW w:w="3330" w:type="dxa"/>
            <w:tcBorders>
              <w:top w:val="nil"/>
              <w:left w:val="nil"/>
              <w:bottom w:val="nil"/>
              <w:right w:val="nil"/>
            </w:tcBorders>
            <w:shd w:val="clear" w:color="auto" w:fill="auto"/>
            <w:noWrap/>
            <w:vAlign w:val="bottom"/>
            <w:hideMark/>
          </w:tcPr>
          <w:p w14:paraId="770FEC6A"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+1 SD Employee BLM</w:t>
            </w:r>
          </w:p>
        </w:tc>
        <w:tc>
          <w:tcPr>
            <w:tcW w:w="1130" w:type="dxa"/>
            <w:tcBorders>
              <w:top w:val="nil"/>
              <w:left w:val="nil"/>
              <w:bottom w:val="nil"/>
              <w:right w:val="nil"/>
            </w:tcBorders>
            <w:shd w:val="clear" w:color="auto" w:fill="auto"/>
            <w:noWrap/>
            <w:vAlign w:val="bottom"/>
            <w:hideMark/>
          </w:tcPr>
          <w:p w14:paraId="38ED89CE" w14:textId="77777777" w:rsidR="002E56B6" w:rsidRPr="00DC2721" w:rsidRDefault="002E56B6" w:rsidP="002E56B6">
            <w:pPr>
              <w:jc w:val="center"/>
              <w:rPr>
                <w:rFonts w:eastAsia="Times New Roman"/>
                <w:color w:val="000000"/>
                <w:szCs w:val="24"/>
              </w:rPr>
            </w:pPr>
          </w:p>
        </w:tc>
        <w:tc>
          <w:tcPr>
            <w:tcW w:w="990" w:type="dxa"/>
            <w:tcBorders>
              <w:top w:val="nil"/>
              <w:left w:val="nil"/>
              <w:bottom w:val="nil"/>
              <w:right w:val="nil"/>
            </w:tcBorders>
            <w:shd w:val="clear" w:color="auto" w:fill="auto"/>
            <w:noWrap/>
            <w:vAlign w:val="bottom"/>
            <w:hideMark/>
          </w:tcPr>
          <w:p w14:paraId="0BCC81E0" w14:textId="77777777" w:rsidR="002E56B6" w:rsidRPr="00DC2721" w:rsidRDefault="002E56B6" w:rsidP="002E56B6">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F9F2047" w14:textId="6CC3C664" w:rsidR="002E56B6" w:rsidRPr="00DC2721" w:rsidRDefault="002E56B6" w:rsidP="002E56B6">
            <w:pPr>
              <w:tabs>
                <w:tab w:val="decimal" w:pos="435"/>
              </w:tabs>
              <w:rPr>
                <w:rFonts w:eastAsia="Times New Roman"/>
                <w:color w:val="000000"/>
                <w:szCs w:val="24"/>
              </w:rPr>
            </w:pPr>
            <w:r w:rsidRPr="00DC2721">
              <w:rPr>
                <w:rFonts w:eastAsia="Times New Roman"/>
                <w:color w:val="000000"/>
                <w:szCs w:val="24"/>
              </w:rPr>
              <w:t>-0.0</w:t>
            </w:r>
            <w:r w:rsidR="00D224D7">
              <w:rPr>
                <w:rFonts w:eastAsia="Times New Roman"/>
                <w:color w:val="000000"/>
                <w:szCs w:val="24"/>
              </w:rPr>
              <w:t>2</w:t>
            </w:r>
            <w:r w:rsidRPr="00DC2721">
              <w:rPr>
                <w:rFonts w:eastAsia="Times New Roman"/>
                <w:color w:val="000000"/>
                <w:szCs w:val="24"/>
              </w:rPr>
              <w:t xml:space="preserve"> (.02)</w:t>
            </w:r>
          </w:p>
        </w:tc>
        <w:tc>
          <w:tcPr>
            <w:tcW w:w="1530" w:type="dxa"/>
            <w:tcBorders>
              <w:top w:val="nil"/>
              <w:left w:val="nil"/>
              <w:bottom w:val="nil"/>
              <w:right w:val="nil"/>
            </w:tcBorders>
            <w:shd w:val="clear" w:color="auto" w:fill="auto"/>
            <w:noWrap/>
            <w:vAlign w:val="bottom"/>
            <w:hideMark/>
          </w:tcPr>
          <w:p w14:paraId="56A61C95" w14:textId="697B3C5F" w:rsidR="002E56B6" w:rsidRPr="00DC2721" w:rsidRDefault="002E56B6" w:rsidP="002E56B6">
            <w:pPr>
              <w:jc w:val="right"/>
              <w:rPr>
                <w:rFonts w:eastAsia="Times New Roman"/>
                <w:color w:val="000000"/>
                <w:szCs w:val="24"/>
              </w:rPr>
            </w:pPr>
            <w:r w:rsidRPr="00DC2721">
              <w:rPr>
                <w:rFonts w:eastAsia="Times New Roman"/>
                <w:color w:val="000000"/>
                <w:szCs w:val="24"/>
              </w:rPr>
              <w:t>(-.07</w:t>
            </w:r>
            <w:r w:rsidR="00D224D7">
              <w:rPr>
                <w:rFonts w:eastAsia="Times New Roman"/>
                <w:color w:val="000000"/>
                <w:szCs w:val="24"/>
              </w:rPr>
              <w:t>4</w:t>
            </w:r>
            <w:r w:rsidRPr="00DC2721">
              <w:rPr>
                <w:rFonts w:eastAsia="Times New Roman"/>
                <w:color w:val="000000"/>
                <w:szCs w:val="24"/>
              </w:rPr>
              <w:t>, .00</w:t>
            </w:r>
            <w:r w:rsidR="00D224D7">
              <w:rPr>
                <w:rFonts w:eastAsia="Times New Roman"/>
                <w:color w:val="000000"/>
                <w:szCs w:val="24"/>
              </w:rPr>
              <w:t>6</w:t>
            </w:r>
            <w:r w:rsidRPr="00DC2721">
              <w:rPr>
                <w:rFonts w:eastAsia="Times New Roman"/>
                <w:color w:val="000000"/>
                <w:szCs w:val="24"/>
              </w:rPr>
              <w:t>)</w:t>
            </w:r>
          </w:p>
        </w:tc>
      </w:tr>
      <w:tr w:rsidR="002E56B6" w:rsidRPr="00DC2721" w14:paraId="60DA24C5" w14:textId="77777777" w:rsidTr="002E56B6">
        <w:trPr>
          <w:trHeight w:val="315"/>
        </w:trPr>
        <w:tc>
          <w:tcPr>
            <w:tcW w:w="3330" w:type="dxa"/>
            <w:tcBorders>
              <w:top w:val="single" w:sz="4" w:space="0" w:color="auto"/>
              <w:left w:val="nil"/>
              <w:bottom w:val="single" w:sz="4" w:space="0" w:color="auto"/>
              <w:right w:val="nil"/>
            </w:tcBorders>
            <w:shd w:val="clear" w:color="auto" w:fill="auto"/>
            <w:noWrap/>
            <w:vAlign w:val="bottom"/>
            <w:hideMark/>
          </w:tcPr>
          <w:p w14:paraId="4026A09A" w14:textId="77777777" w:rsidR="002E56B6" w:rsidRPr="00DC2721" w:rsidRDefault="002E56B6" w:rsidP="002E56B6">
            <w:pPr>
              <w:jc w:val="center"/>
              <w:rPr>
                <w:rFonts w:eastAsia="Times New Roman"/>
                <w:color w:val="000000"/>
                <w:szCs w:val="24"/>
              </w:rPr>
            </w:pPr>
            <w:r w:rsidRPr="00DC2721">
              <w:rPr>
                <w:rFonts w:eastAsia="Times New Roman"/>
                <w:color w:val="000000"/>
                <w:szCs w:val="24"/>
              </w:rPr>
              <w:t>Index of Moderated Mediation</w:t>
            </w:r>
          </w:p>
        </w:tc>
        <w:tc>
          <w:tcPr>
            <w:tcW w:w="1130" w:type="dxa"/>
            <w:tcBorders>
              <w:top w:val="single" w:sz="4" w:space="0" w:color="auto"/>
              <w:left w:val="nil"/>
              <w:bottom w:val="single" w:sz="4" w:space="0" w:color="auto"/>
              <w:right w:val="nil"/>
            </w:tcBorders>
            <w:shd w:val="clear" w:color="auto" w:fill="auto"/>
            <w:noWrap/>
            <w:vAlign w:val="bottom"/>
            <w:hideMark/>
          </w:tcPr>
          <w:p w14:paraId="24EBFCED" w14:textId="77777777" w:rsidR="002E56B6" w:rsidRPr="00DC2721" w:rsidRDefault="002E56B6" w:rsidP="002E56B6">
            <w:pPr>
              <w:rPr>
                <w:rFonts w:ascii="Calibri" w:eastAsia="Times New Roman" w:hAnsi="Calibri"/>
                <w:color w:val="000000"/>
                <w:sz w:val="22"/>
              </w:rPr>
            </w:pPr>
            <w:r w:rsidRPr="00DC2721">
              <w:rPr>
                <w:rFonts w:ascii="Calibri" w:eastAsia="Times New Roman" w:hAnsi="Calibri"/>
                <w:color w:val="000000"/>
                <w:sz w:val="22"/>
              </w:rPr>
              <w:t> </w:t>
            </w:r>
          </w:p>
        </w:tc>
        <w:tc>
          <w:tcPr>
            <w:tcW w:w="990" w:type="dxa"/>
            <w:tcBorders>
              <w:top w:val="single" w:sz="4" w:space="0" w:color="auto"/>
              <w:left w:val="nil"/>
              <w:bottom w:val="single" w:sz="4" w:space="0" w:color="auto"/>
              <w:right w:val="nil"/>
            </w:tcBorders>
            <w:shd w:val="clear" w:color="auto" w:fill="auto"/>
            <w:noWrap/>
            <w:vAlign w:val="bottom"/>
            <w:hideMark/>
          </w:tcPr>
          <w:p w14:paraId="0C52E6CB" w14:textId="77777777" w:rsidR="002E56B6" w:rsidRPr="00DC2721" w:rsidRDefault="002E56B6" w:rsidP="002E56B6">
            <w:pPr>
              <w:rPr>
                <w:rFonts w:ascii="Calibri" w:eastAsia="Times New Roman" w:hAnsi="Calibri"/>
                <w:color w:val="000000"/>
                <w:sz w:val="22"/>
              </w:rPr>
            </w:pPr>
            <w:r w:rsidRPr="00DC2721">
              <w:rPr>
                <w:rFonts w:ascii="Calibri" w:eastAsia="Times New Roman" w:hAnsi="Calibri"/>
                <w:color w:val="000000"/>
                <w:sz w:val="22"/>
              </w:rPr>
              <w:t> </w:t>
            </w:r>
          </w:p>
        </w:tc>
        <w:tc>
          <w:tcPr>
            <w:tcW w:w="1350" w:type="dxa"/>
            <w:tcBorders>
              <w:top w:val="single" w:sz="4" w:space="0" w:color="auto"/>
              <w:left w:val="nil"/>
              <w:bottom w:val="single" w:sz="4" w:space="0" w:color="auto"/>
              <w:right w:val="nil"/>
            </w:tcBorders>
            <w:shd w:val="clear" w:color="auto" w:fill="auto"/>
            <w:noWrap/>
            <w:vAlign w:val="bottom"/>
            <w:hideMark/>
          </w:tcPr>
          <w:p w14:paraId="636CB34A" w14:textId="0167F018" w:rsidR="002E56B6" w:rsidRPr="00DC2721" w:rsidRDefault="002E56B6" w:rsidP="002E56B6">
            <w:pPr>
              <w:tabs>
                <w:tab w:val="decimal" w:pos="435"/>
              </w:tabs>
              <w:rPr>
                <w:rFonts w:eastAsia="Times New Roman"/>
                <w:color w:val="000000"/>
                <w:szCs w:val="24"/>
              </w:rPr>
            </w:pPr>
            <w:r w:rsidRPr="00DC2721">
              <w:rPr>
                <w:rFonts w:eastAsia="Times New Roman"/>
                <w:color w:val="000000"/>
                <w:szCs w:val="24"/>
              </w:rPr>
              <w:t>0.0</w:t>
            </w:r>
            <w:r w:rsidR="00DC2721" w:rsidRPr="00DC2721">
              <w:rPr>
                <w:rFonts w:eastAsia="Times New Roman"/>
                <w:color w:val="000000"/>
                <w:szCs w:val="24"/>
              </w:rPr>
              <w:t>2</w:t>
            </w:r>
            <w:r w:rsidRPr="00DC2721">
              <w:rPr>
                <w:rFonts w:eastAsia="Times New Roman"/>
                <w:color w:val="000000"/>
                <w:szCs w:val="24"/>
              </w:rPr>
              <w:t xml:space="preserve"> (.01)</w:t>
            </w:r>
          </w:p>
        </w:tc>
        <w:tc>
          <w:tcPr>
            <w:tcW w:w="1530" w:type="dxa"/>
            <w:tcBorders>
              <w:top w:val="single" w:sz="4" w:space="0" w:color="auto"/>
              <w:left w:val="nil"/>
              <w:bottom w:val="single" w:sz="4" w:space="0" w:color="auto"/>
              <w:right w:val="nil"/>
            </w:tcBorders>
            <w:shd w:val="clear" w:color="auto" w:fill="auto"/>
            <w:noWrap/>
            <w:vAlign w:val="bottom"/>
            <w:hideMark/>
          </w:tcPr>
          <w:p w14:paraId="5C270AE7" w14:textId="2E44CED8" w:rsidR="002E56B6" w:rsidRPr="00DC2721" w:rsidRDefault="002E56B6" w:rsidP="002E56B6">
            <w:pPr>
              <w:jc w:val="right"/>
              <w:rPr>
                <w:rFonts w:eastAsia="Times New Roman"/>
                <w:color w:val="000000"/>
                <w:szCs w:val="24"/>
              </w:rPr>
            </w:pPr>
            <w:r w:rsidRPr="00DC2721">
              <w:rPr>
                <w:rFonts w:eastAsia="Times New Roman"/>
                <w:color w:val="000000"/>
                <w:szCs w:val="24"/>
              </w:rPr>
              <w:t>(.00</w:t>
            </w:r>
            <w:r w:rsidR="00DC2721" w:rsidRPr="00DC2721">
              <w:rPr>
                <w:rFonts w:eastAsia="Times New Roman"/>
                <w:color w:val="000000"/>
                <w:szCs w:val="24"/>
              </w:rPr>
              <w:t>5</w:t>
            </w:r>
            <w:r w:rsidRPr="00DC2721">
              <w:rPr>
                <w:rFonts w:eastAsia="Times New Roman"/>
                <w:color w:val="000000"/>
                <w:szCs w:val="24"/>
              </w:rPr>
              <w:t>, .04</w:t>
            </w:r>
            <w:r w:rsidR="00DC2721" w:rsidRPr="00DC2721">
              <w:rPr>
                <w:rFonts w:eastAsia="Times New Roman"/>
                <w:color w:val="000000"/>
                <w:szCs w:val="24"/>
              </w:rPr>
              <w:t>7</w:t>
            </w:r>
            <w:r w:rsidRPr="00DC2721">
              <w:rPr>
                <w:rFonts w:eastAsia="Times New Roman"/>
                <w:color w:val="000000"/>
                <w:szCs w:val="24"/>
              </w:rPr>
              <w:t>)</w:t>
            </w:r>
          </w:p>
        </w:tc>
      </w:tr>
    </w:tbl>
    <w:p w14:paraId="2BC18624" w14:textId="74571299" w:rsidR="002E56B6" w:rsidRPr="00DC2721" w:rsidRDefault="002E56B6" w:rsidP="002E56B6">
      <w:pPr>
        <w:rPr>
          <w:szCs w:val="24"/>
        </w:rPr>
      </w:pPr>
      <w:r w:rsidRPr="00DC2721">
        <w:rPr>
          <w:i/>
          <w:szCs w:val="24"/>
        </w:rPr>
        <w:t>Note</w:t>
      </w:r>
      <w:r w:rsidRPr="00DC2721">
        <w:rPr>
          <w:szCs w:val="24"/>
        </w:rPr>
        <w:t xml:space="preserve">. </w:t>
      </w:r>
      <w:r w:rsidRPr="00DC2721">
        <w:rPr>
          <w:i/>
          <w:szCs w:val="24"/>
        </w:rPr>
        <w:t>N</w:t>
      </w:r>
      <w:r w:rsidRPr="00DC2721">
        <w:rPr>
          <w:szCs w:val="24"/>
        </w:rPr>
        <w:t xml:space="preserve"> = </w:t>
      </w:r>
      <w:r w:rsidR="00DC2721" w:rsidRPr="00DC2721">
        <w:rPr>
          <w:szCs w:val="24"/>
        </w:rPr>
        <w:t>244</w:t>
      </w:r>
      <w:r w:rsidRPr="00DC2721">
        <w:rPr>
          <w:szCs w:val="24"/>
        </w:rPr>
        <w:t>. Bootstrap sample size = 5,000. 95% Confidence Interval (CI).</w:t>
      </w:r>
    </w:p>
    <w:p w14:paraId="3A43CE1F" w14:textId="77777777" w:rsidR="002E56B6" w:rsidRPr="00DC2721" w:rsidRDefault="002E56B6" w:rsidP="002E56B6">
      <w:pPr>
        <w:rPr>
          <w:rFonts w:eastAsia="Times New Roman"/>
          <w:sz w:val="20"/>
          <w:szCs w:val="20"/>
        </w:rPr>
      </w:pPr>
      <w:r w:rsidRPr="00DC2721">
        <w:rPr>
          <w:rFonts w:eastAsia="Times New Roman"/>
          <w:szCs w:val="24"/>
          <w:vertAlign w:val="superscript"/>
        </w:rPr>
        <w:t>a</w:t>
      </w:r>
      <w:r w:rsidRPr="00DC2721">
        <w:rPr>
          <w:rFonts w:eastAsia="Times New Roman"/>
          <w:szCs w:val="24"/>
        </w:rPr>
        <w:t xml:space="preserve"> Variables were mean centered prior to analysis. </w:t>
      </w:r>
      <w:r w:rsidRPr="00DC2721">
        <w:rPr>
          <w:rFonts w:eastAsia="Times New Roman"/>
          <w:szCs w:val="24"/>
          <w:vertAlign w:val="superscript"/>
        </w:rPr>
        <w:t>b</w:t>
      </w:r>
      <w:r w:rsidRPr="00DC2721">
        <w:rPr>
          <w:rFonts w:eastAsia="Times New Roman"/>
          <w:szCs w:val="24"/>
        </w:rPr>
        <w:t xml:space="preserve"> employee demographic.</w:t>
      </w:r>
    </w:p>
    <w:p w14:paraId="56475A32" w14:textId="77777777" w:rsidR="002E56B6" w:rsidRPr="00DC2721" w:rsidRDefault="002E56B6" w:rsidP="002E56B6">
      <w:pPr>
        <w:rPr>
          <w:rFonts w:eastAsia="Times New Roman"/>
          <w:i/>
          <w:szCs w:val="24"/>
        </w:rPr>
      </w:pPr>
      <w:r w:rsidRPr="00DC2721">
        <w:rPr>
          <w:rFonts w:eastAsia="Times New Roman"/>
          <w:szCs w:val="24"/>
        </w:rPr>
        <w:t>SBLM</w:t>
      </w:r>
      <w:r w:rsidRPr="00DC2721">
        <w:rPr>
          <w:rFonts w:eastAsia="Times New Roman"/>
          <w:i/>
          <w:szCs w:val="24"/>
        </w:rPr>
        <w:t xml:space="preserve"> </w:t>
      </w:r>
      <w:r w:rsidRPr="00DC2721">
        <w:rPr>
          <w:rFonts w:eastAsia="Times New Roman"/>
          <w:szCs w:val="24"/>
        </w:rPr>
        <w:t>= supervisor bottom-line mentality</w:t>
      </w:r>
      <w:r w:rsidRPr="00DC2721">
        <w:rPr>
          <w:rFonts w:eastAsia="Times New Roman"/>
          <w:i/>
          <w:szCs w:val="24"/>
        </w:rPr>
        <w:t xml:space="preserve">. </w:t>
      </w:r>
      <w:r w:rsidRPr="00DC2721">
        <w:rPr>
          <w:rFonts w:eastAsia="Times New Roman"/>
          <w:szCs w:val="24"/>
        </w:rPr>
        <w:t>EBLM</w:t>
      </w:r>
      <w:r w:rsidRPr="00DC2721">
        <w:rPr>
          <w:rFonts w:eastAsia="Times New Roman"/>
          <w:i/>
          <w:szCs w:val="24"/>
        </w:rPr>
        <w:t xml:space="preserve"> </w:t>
      </w:r>
      <w:r w:rsidRPr="00DC2721">
        <w:rPr>
          <w:rFonts w:eastAsia="Times New Roman"/>
          <w:szCs w:val="24"/>
        </w:rPr>
        <w:t>= employee bottom-line mentality.</w:t>
      </w:r>
    </w:p>
    <w:p w14:paraId="0A5C0F54" w14:textId="77777777" w:rsidR="002E56B6" w:rsidRPr="00DC2721" w:rsidRDefault="002E56B6" w:rsidP="002E56B6">
      <w:pPr>
        <w:rPr>
          <w:rFonts w:eastAsia="Times New Roman"/>
          <w:szCs w:val="24"/>
          <w:vertAlign w:val="superscript"/>
        </w:rPr>
      </w:pPr>
      <w:r w:rsidRPr="00DC2721">
        <w:rPr>
          <w:rFonts w:eastAsia="Times New Roman"/>
          <w:szCs w:val="24"/>
        </w:rPr>
        <w:t>Bootstrapped estimates for the standard error are shown.</w:t>
      </w:r>
    </w:p>
    <w:p w14:paraId="10928A24" w14:textId="08C4B0DB" w:rsidR="00CC12E9" w:rsidRPr="000474F8" w:rsidRDefault="002E56B6" w:rsidP="002E56B6">
      <w:pPr>
        <w:spacing w:line="480" w:lineRule="auto"/>
        <w:rPr>
          <w:szCs w:val="24"/>
        </w:rPr>
      </w:pPr>
      <w:r w:rsidRPr="00DC2721">
        <w:rPr>
          <w:szCs w:val="24"/>
          <w:vertAlign w:val="superscript"/>
        </w:rPr>
        <w:t>***</w:t>
      </w:r>
      <w:r w:rsidRPr="00DC2721">
        <w:rPr>
          <w:szCs w:val="24"/>
        </w:rPr>
        <w:t xml:space="preserve"> </w:t>
      </w:r>
      <w:r w:rsidRPr="00DC2721">
        <w:rPr>
          <w:i/>
          <w:szCs w:val="24"/>
        </w:rPr>
        <w:t>p</w:t>
      </w:r>
      <w:r w:rsidRPr="00DC2721">
        <w:rPr>
          <w:szCs w:val="24"/>
        </w:rPr>
        <w:t xml:space="preserve"> &lt; .001, </w:t>
      </w:r>
      <w:r w:rsidRPr="00DC2721">
        <w:rPr>
          <w:szCs w:val="24"/>
          <w:vertAlign w:val="superscript"/>
        </w:rPr>
        <w:t xml:space="preserve">** </w:t>
      </w:r>
      <w:r w:rsidRPr="00DC2721">
        <w:rPr>
          <w:i/>
          <w:szCs w:val="24"/>
        </w:rPr>
        <w:t>p</w:t>
      </w:r>
      <w:r w:rsidRPr="00DC2721">
        <w:rPr>
          <w:szCs w:val="24"/>
        </w:rPr>
        <w:t xml:space="preserve"> &lt; .01, </w:t>
      </w:r>
      <w:r w:rsidRPr="00DC2721">
        <w:rPr>
          <w:szCs w:val="24"/>
          <w:vertAlign w:val="superscript"/>
        </w:rPr>
        <w:t xml:space="preserve">* </w:t>
      </w:r>
      <w:r w:rsidRPr="00DC2721">
        <w:rPr>
          <w:i/>
          <w:szCs w:val="24"/>
        </w:rPr>
        <w:t>p</w:t>
      </w:r>
      <w:r w:rsidRPr="00DC2721">
        <w:rPr>
          <w:szCs w:val="24"/>
        </w:rPr>
        <w:t xml:space="preserve"> &lt; .05.</w:t>
      </w:r>
    </w:p>
    <w:p w14:paraId="268DE961" w14:textId="77777777" w:rsidR="00F27E54" w:rsidRDefault="00F27E54" w:rsidP="004476EF">
      <w:pPr>
        <w:ind w:hanging="360"/>
        <w:rPr>
          <w:i/>
          <w:szCs w:val="24"/>
        </w:rPr>
      </w:pPr>
    </w:p>
    <w:p w14:paraId="319B237F" w14:textId="1F22C3DF" w:rsidR="00644C7B" w:rsidRDefault="00644C7B" w:rsidP="004476EF">
      <w:pPr>
        <w:ind w:hanging="360"/>
        <w:rPr>
          <w:szCs w:val="24"/>
        </w:rPr>
      </w:pPr>
    </w:p>
    <w:p w14:paraId="34326224" w14:textId="77777777" w:rsidR="00B503C3" w:rsidRDefault="00B503C3" w:rsidP="00D92806">
      <w:pPr>
        <w:rPr>
          <w:szCs w:val="24"/>
        </w:rPr>
        <w:sectPr w:rsidR="00B503C3" w:rsidSect="00F27E54">
          <w:pgSz w:w="12240" w:h="15840"/>
          <w:pgMar w:top="1440" w:right="1440" w:bottom="1440" w:left="1440" w:header="720" w:footer="720" w:gutter="0"/>
          <w:cols w:space="720"/>
          <w:docGrid w:linePitch="326"/>
        </w:sectPr>
      </w:pPr>
    </w:p>
    <w:p w14:paraId="747F3583" w14:textId="77777777" w:rsidR="00883E69" w:rsidRPr="003827BF" w:rsidRDefault="00883E69" w:rsidP="00883E69">
      <w:pPr>
        <w:spacing w:line="480" w:lineRule="auto"/>
        <w:rPr>
          <w:szCs w:val="24"/>
        </w:rPr>
      </w:pPr>
      <w:r w:rsidRPr="003827BF">
        <w:rPr>
          <w:szCs w:val="24"/>
        </w:rPr>
        <w:lastRenderedPageBreak/>
        <w:t>Figure 1</w:t>
      </w:r>
    </w:p>
    <w:p w14:paraId="15859052" w14:textId="77777777" w:rsidR="00E52095" w:rsidRDefault="00E52095" w:rsidP="00E52095">
      <w:pPr>
        <w:rPr>
          <w:szCs w:val="24"/>
        </w:rPr>
      </w:pPr>
      <w:r>
        <w:rPr>
          <w:i/>
          <w:szCs w:val="24"/>
        </w:rPr>
        <w:t>Hypothesized Theoretical Model</w:t>
      </w:r>
    </w:p>
    <w:p w14:paraId="3FFE471F" w14:textId="77777777" w:rsidR="00E52095" w:rsidRDefault="00E52095" w:rsidP="00E52095">
      <w:pPr>
        <w:rPr>
          <w:szCs w:val="24"/>
        </w:rPr>
      </w:pPr>
    </w:p>
    <w:p w14:paraId="3E376B27" w14:textId="55298479" w:rsidR="00E52095" w:rsidRDefault="00697A6B" w:rsidP="00E52095">
      <w:pPr>
        <w:rPr>
          <w:i/>
          <w:szCs w:val="24"/>
        </w:rPr>
      </w:pPr>
      <w:r>
        <w:rPr>
          <w:noProof/>
          <w:szCs w:val="24"/>
        </w:rPr>
        <w:drawing>
          <wp:inline distT="0" distB="0" distL="0" distR="0" wp14:anchorId="298A294F" wp14:editId="4E2BF3DD">
            <wp:extent cx="5681654"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414" cy="1361642"/>
                    </a:xfrm>
                    <a:prstGeom prst="rect">
                      <a:avLst/>
                    </a:prstGeom>
                    <a:noFill/>
                  </pic:spPr>
                </pic:pic>
              </a:graphicData>
            </a:graphic>
          </wp:inline>
        </w:drawing>
      </w:r>
      <w:r w:rsidR="00E52095">
        <w:rPr>
          <w:szCs w:val="24"/>
        </w:rPr>
        <w:t xml:space="preserve"> </w:t>
      </w:r>
      <w:r w:rsidR="00E52095">
        <w:rPr>
          <w:i/>
          <w:szCs w:val="24"/>
        </w:rPr>
        <w:br w:type="page"/>
      </w:r>
    </w:p>
    <w:p w14:paraId="7E07E4BD" w14:textId="77777777" w:rsidR="00E52095" w:rsidRDefault="00E52095" w:rsidP="00A42E11">
      <w:pPr>
        <w:spacing w:line="480" w:lineRule="auto"/>
        <w:rPr>
          <w:szCs w:val="24"/>
        </w:rPr>
      </w:pPr>
      <w:r>
        <w:rPr>
          <w:szCs w:val="24"/>
        </w:rPr>
        <w:lastRenderedPageBreak/>
        <w:t>Figure 2</w:t>
      </w:r>
    </w:p>
    <w:p w14:paraId="26784788" w14:textId="596FDDD6" w:rsidR="00410A4D" w:rsidRPr="003827BF" w:rsidRDefault="00DC2721" w:rsidP="00A42E11">
      <w:pPr>
        <w:spacing w:line="480" w:lineRule="auto"/>
        <w:rPr>
          <w:i/>
          <w:szCs w:val="24"/>
        </w:rPr>
      </w:pPr>
      <w:r>
        <w:rPr>
          <w:i/>
          <w:szCs w:val="24"/>
        </w:rPr>
        <w:t xml:space="preserve">Study 1 – Interactive </w:t>
      </w:r>
      <w:r w:rsidR="00410A4D" w:rsidRPr="003827BF">
        <w:rPr>
          <w:i/>
          <w:szCs w:val="24"/>
        </w:rPr>
        <w:t xml:space="preserve">Effect of Supervisor BLM and Employee BLM on </w:t>
      </w:r>
      <w:r>
        <w:rPr>
          <w:i/>
          <w:szCs w:val="24"/>
        </w:rPr>
        <w:t>LMX</w:t>
      </w:r>
    </w:p>
    <w:p w14:paraId="6887B6E4" w14:textId="40E70597" w:rsidR="00D72CA4" w:rsidRDefault="00B42572" w:rsidP="00A42E11">
      <w:pPr>
        <w:spacing w:line="480" w:lineRule="auto"/>
        <w:rPr>
          <w:szCs w:val="24"/>
        </w:rPr>
      </w:pPr>
      <w:r>
        <w:rPr>
          <w:i/>
          <w:noProof/>
          <w:szCs w:val="24"/>
        </w:rPr>
        <w:drawing>
          <wp:inline distT="0" distB="0" distL="0" distR="0" wp14:anchorId="297B048A" wp14:editId="15678F09">
            <wp:extent cx="4773295" cy="2468880"/>
            <wp:effectExtent l="0" t="0" r="825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3295" cy="2468880"/>
                    </a:xfrm>
                    <a:prstGeom prst="rect">
                      <a:avLst/>
                    </a:prstGeom>
                    <a:noFill/>
                  </pic:spPr>
                </pic:pic>
              </a:graphicData>
            </a:graphic>
          </wp:inline>
        </w:drawing>
      </w:r>
      <w:r w:rsidR="0035094B">
        <w:rPr>
          <w:szCs w:val="24"/>
        </w:rPr>
        <w:br w:type="textWrapping" w:clear="all"/>
      </w:r>
      <w:r w:rsidR="007636FE" w:rsidRPr="007636FE">
        <w:rPr>
          <w:i/>
          <w:szCs w:val="24"/>
        </w:rPr>
        <w:t>Note</w:t>
      </w:r>
      <w:r w:rsidR="007636FE">
        <w:rPr>
          <w:szCs w:val="24"/>
        </w:rPr>
        <w:t xml:space="preserve">. </w:t>
      </w:r>
      <w:r w:rsidR="00410A4D">
        <w:rPr>
          <w:szCs w:val="24"/>
        </w:rPr>
        <w:t>BLM –</w:t>
      </w:r>
      <w:r w:rsidR="007636FE">
        <w:rPr>
          <w:szCs w:val="24"/>
        </w:rPr>
        <w:t xml:space="preserve"> B</w:t>
      </w:r>
      <w:r w:rsidR="00410A4D">
        <w:rPr>
          <w:szCs w:val="24"/>
        </w:rPr>
        <w:t xml:space="preserve">ottom-line mentality. </w:t>
      </w:r>
    </w:p>
    <w:p w14:paraId="6DC42DC8" w14:textId="1A1D4593" w:rsidR="00DC2721" w:rsidRDefault="00DC2721">
      <w:pPr>
        <w:rPr>
          <w:szCs w:val="24"/>
        </w:rPr>
      </w:pPr>
      <w:r>
        <w:rPr>
          <w:szCs w:val="24"/>
        </w:rPr>
        <w:br w:type="page"/>
      </w:r>
    </w:p>
    <w:p w14:paraId="36544869" w14:textId="37B96BD0" w:rsidR="00DC2721" w:rsidRDefault="00DC2721" w:rsidP="00DC2721">
      <w:pPr>
        <w:spacing w:line="480" w:lineRule="auto"/>
        <w:rPr>
          <w:szCs w:val="24"/>
        </w:rPr>
      </w:pPr>
      <w:r>
        <w:rPr>
          <w:szCs w:val="24"/>
        </w:rPr>
        <w:lastRenderedPageBreak/>
        <w:t xml:space="preserve">Figure </w:t>
      </w:r>
      <w:r w:rsidR="00093A36">
        <w:rPr>
          <w:szCs w:val="24"/>
        </w:rPr>
        <w:t>3</w:t>
      </w:r>
    </w:p>
    <w:p w14:paraId="5A6ABDAF" w14:textId="5235553D" w:rsidR="00DC2721" w:rsidRPr="003827BF" w:rsidRDefault="00DC2721" w:rsidP="00DC2721">
      <w:pPr>
        <w:spacing w:line="480" w:lineRule="auto"/>
        <w:rPr>
          <w:i/>
          <w:szCs w:val="24"/>
        </w:rPr>
      </w:pPr>
      <w:r>
        <w:rPr>
          <w:i/>
          <w:szCs w:val="24"/>
        </w:rPr>
        <w:t xml:space="preserve">Study 2 – Interactive </w:t>
      </w:r>
      <w:r w:rsidRPr="003827BF">
        <w:rPr>
          <w:i/>
          <w:szCs w:val="24"/>
        </w:rPr>
        <w:t xml:space="preserve">Effect of Supervisor BLM and Employee BLM on </w:t>
      </w:r>
      <w:r>
        <w:rPr>
          <w:i/>
          <w:szCs w:val="24"/>
        </w:rPr>
        <w:t>LMSX</w:t>
      </w:r>
    </w:p>
    <w:p w14:paraId="1140AA46" w14:textId="0804C9D1" w:rsidR="001C1396" w:rsidRPr="001C1396" w:rsidRDefault="00DA4CC5" w:rsidP="00DC2721">
      <w:pPr>
        <w:spacing w:line="480" w:lineRule="auto"/>
        <w:rPr>
          <w:szCs w:val="24"/>
        </w:rPr>
      </w:pPr>
      <w:r>
        <w:rPr>
          <w:noProof/>
          <w:szCs w:val="24"/>
        </w:rPr>
        <w:drawing>
          <wp:inline distT="0" distB="0" distL="0" distR="0" wp14:anchorId="367BE9EB" wp14:editId="5C74CDB7">
            <wp:extent cx="4773295" cy="24688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3295" cy="2468880"/>
                    </a:xfrm>
                    <a:prstGeom prst="rect">
                      <a:avLst/>
                    </a:prstGeom>
                    <a:noFill/>
                  </pic:spPr>
                </pic:pic>
              </a:graphicData>
            </a:graphic>
          </wp:inline>
        </w:drawing>
      </w:r>
    </w:p>
    <w:p w14:paraId="4BFBBEBC" w14:textId="2F63C66C" w:rsidR="00DC2721" w:rsidRDefault="00DC2721" w:rsidP="00DC2721">
      <w:pPr>
        <w:spacing w:line="480" w:lineRule="auto"/>
        <w:rPr>
          <w:szCs w:val="24"/>
        </w:rPr>
      </w:pPr>
      <w:r w:rsidRPr="007636FE">
        <w:rPr>
          <w:i/>
          <w:szCs w:val="24"/>
        </w:rPr>
        <w:t>Note</w:t>
      </w:r>
      <w:r>
        <w:rPr>
          <w:szCs w:val="24"/>
        </w:rPr>
        <w:t xml:space="preserve">. BLM – Bottom-line mentality. </w:t>
      </w:r>
    </w:p>
    <w:p w14:paraId="7002CBE0" w14:textId="77777777" w:rsidR="00DC2721" w:rsidRDefault="00DC2721" w:rsidP="00A42E11">
      <w:pPr>
        <w:spacing w:line="480" w:lineRule="auto"/>
        <w:rPr>
          <w:szCs w:val="24"/>
        </w:rPr>
      </w:pPr>
    </w:p>
    <w:sectPr w:rsidR="00DC2721" w:rsidSect="005124C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A4A1" w14:textId="77777777" w:rsidR="00F45FC5" w:rsidRDefault="00F45FC5" w:rsidP="003B74C5">
      <w:r>
        <w:separator/>
      </w:r>
    </w:p>
  </w:endnote>
  <w:endnote w:type="continuationSeparator" w:id="0">
    <w:p w14:paraId="302A27A1" w14:textId="77777777" w:rsidR="00F45FC5" w:rsidRDefault="00F45FC5" w:rsidP="003B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7A50" w14:textId="77777777" w:rsidR="00F45FC5" w:rsidRDefault="00F45FC5" w:rsidP="003B74C5">
      <w:r>
        <w:separator/>
      </w:r>
    </w:p>
  </w:footnote>
  <w:footnote w:type="continuationSeparator" w:id="0">
    <w:p w14:paraId="338D7618" w14:textId="77777777" w:rsidR="00F45FC5" w:rsidRDefault="00F45FC5" w:rsidP="003B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8132" w14:textId="0EF5B22A" w:rsidR="00A80DFB" w:rsidRDefault="00A80DFB" w:rsidP="00644C7B">
    <w:pPr>
      <w:pStyle w:val="Header"/>
    </w:pPr>
    <w:r>
      <w:t xml:space="preserve">Bottom-Line Mentality  </w:t>
    </w:r>
    <w:sdt>
      <w:sdtPr>
        <w:id w:val="-1769224919"/>
        <w:docPartObj>
          <w:docPartGallery w:val="Page Numbers (Top of Page)"/>
          <w:docPartUnique/>
        </w:docPartObj>
      </w:sdtPr>
      <w:sdtEndPr/>
      <w:sdtContent>
        <w:r>
          <w:tab/>
        </w:r>
        <w:r>
          <w:tab/>
        </w:r>
        <w:r>
          <w:fldChar w:fldCharType="begin"/>
        </w:r>
        <w:r>
          <w:instrText xml:space="preserve"> PAGE   \* MERGEFORMAT </w:instrText>
        </w:r>
        <w:r>
          <w:fldChar w:fldCharType="separate"/>
        </w:r>
        <w:r>
          <w:rPr>
            <w:noProof/>
          </w:rPr>
          <w:t>22</w:t>
        </w:r>
        <w:r>
          <w:rPr>
            <w:noProof/>
          </w:rPr>
          <w:fldChar w:fldCharType="end"/>
        </w:r>
      </w:sdtContent>
    </w:sdt>
  </w:p>
  <w:p w14:paraId="19D42C3D" w14:textId="77777777" w:rsidR="00A80DFB" w:rsidRDefault="00A80DFB" w:rsidP="0034261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E5A9" w14:textId="6DC2B1A8" w:rsidR="00A80DFB" w:rsidRDefault="00A80DFB">
    <w:pPr>
      <w:pStyle w:val="Header"/>
    </w:pPr>
    <w:r>
      <w:t>Running Head: BOTTOM-LINE MENTALITY</w:t>
    </w:r>
    <w:r>
      <w:tab/>
    </w:r>
    <w:r>
      <w:ta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A96D" w14:textId="77777777" w:rsidR="00A80DFB" w:rsidRDefault="00A80DFB">
    <w:pPr>
      <w:pStyle w:val="Header"/>
    </w:pPr>
    <w:r>
      <w:t>Running Head: CONSEQUENCES OF SUPERVISOR BLM</w:t>
    </w:r>
    <w:r>
      <w:tab/>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ADEB" w14:textId="76D74985" w:rsidR="00A80DFB" w:rsidRDefault="00A80DFB" w:rsidP="00644C7B">
    <w:pPr>
      <w:pStyle w:val="Header"/>
    </w:pPr>
    <w:r>
      <w:t xml:space="preserve">Bottom-Line Mentality  </w:t>
    </w:r>
    <w:sdt>
      <w:sdtPr>
        <w:id w:val="-1674096857"/>
        <w:docPartObj>
          <w:docPartGallery w:val="Page Numbers (Top of Page)"/>
          <w:docPartUnique/>
        </w:docPartObj>
      </w:sdtPr>
      <w:sdtEndPr/>
      <w:sdtContent>
        <w:r>
          <w:tab/>
        </w:r>
        <w:r>
          <w:tab/>
        </w:r>
        <w:r>
          <w:fldChar w:fldCharType="begin"/>
        </w:r>
        <w:r>
          <w:instrText xml:space="preserve"> PAGE   \* MERGEFORMAT </w:instrText>
        </w:r>
        <w:r>
          <w:fldChar w:fldCharType="separate"/>
        </w:r>
        <w:r>
          <w:rPr>
            <w:noProof/>
          </w:rPr>
          <w:t>45</w:t>
        </w:r>
        <w:r>
          <w:rPr>
            <w:noProof/>
          </w:rPr>
          <w:fldChar w:fldCharType="end"/>
        </w:r>
      </w:sdtContent>
    </w:sdt>
  </w:p>
  <w:p w14:paraId="40B7F47A" w14:textId="77777777" w:rsidR="00A80DFB" w:rsidRDefault="00A80DFB" w:rsidP="0034261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FA4B" w14:textId="01C8D2E2" w:rsidR="00A80DFB" w:rsidRDefault="00A80DFB">
    <w:pPr>
      <w:pStyle w:val="Header"/>
    </w:pPr>
    <w:r>
      <w:t>Running Head: BOTTOM-LINE MENTALITY</w:t>
    </w:r>
    <w:r>
      <w:tab/>
    </w:r>
    <w:r>
      <w:tab/>
      <w:t>39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4013" w14:textId="77777777" w:rsidR="00A80DFB" w:rsidRDefault="00A80DFB">
    <w:pPr>
      <w:pStyle w:val="Header"/>
    </w:pPr>
    <w:r>
      <w:t>Running Head: CONSEQUENCES OF SUPERVISOR BLM</w:t>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462"/>
    <w:multiLevelType w:val="hybridMultilevel"/>
    <w:tmpl w:val="7B2C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179D1"/>
    <w:multiLevelType w:val="hybridMultilevel"/>
    <w:tmpl w:val="25CC8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03366"/>
    <w:multiLevelType w:val="hybridMultilevel"/>
    <w:tmpl w:val="868C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F3F7E"/>
    <w:multiLevelType w:val="hybridMultilevel"/>
    <w:tmpl w:val="73FC24BC"/>
    <w:lvl w:ilvl="0" w:tplc="3704F9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EA0FBD"/>
    <w:multiLevelType w:val="hybridMultilevel"/>
    <w:tmpl w:val="CCB24F80"/>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E707E8D"/>
    <w:multiLevelType w:val="hybridMultilevel"/>
    <w:tmpl w:val="BDE6CA96"/>
    <w:lvl w:ilvl="0" w:tplc="4120F6E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0EB31433"/>
    <w:multiLevelType w:val="hybridMultilevel"/>
    <w:tmpl w:val="9CF266E2"/>
    <w:lvl w:ilvl="0" w:tplc="F52AE3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31259"/>
    <w:multiLevelType w:val="hybridMultilevel"/>
    <w:tmpl w:val="4E38175E"/>
    <w:lvl w:ilvl="0" w:tplc="57D6290E">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F3FC5"/>
    <w:multiLevelType w:val="hybridMultilevel"/>
    <w:tmpl w:val="7EE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062DB"/>
    <w:multiLevelType w:val="hybridMultilevel"/>
    <w:tmpl w:val="E52697D0"/>
    <w:lvl w:ilvl="0" w:tplc="02BC38E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83BD7"/>
    <w:multiLevelType w:val="hybridMultilevel"/>
    <w:tmpl w:val="136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632FD"/>
    <w:multiLevelType w:val="hybridMultilevel"/>
    <w:tmpl w:val="381E3B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7300E1"/>
    <w:multiLevelType w:val="hybridMultilevel"/>
    <w:tmpl w:val="E82C93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21556492"/>
    <w:multiLevelType w:val="hybridMultilevel"/>
    <w:tmpl w:val="9864DB32"/>
    <w:lvl w:ilvl="0" w:tplc="30BAA84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11FAF"/>
    <w:multiLevelType w:val="hybridMultilevel"/>
    <w:tmpl w:val="601ED4BC"/>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2F11689B"/>
    <w:multiLevelType w:val="hybridMultilevel"/>
    <w:tmpl w:val="B72A5206"/>
    <w:lvl w:ilvl="0" w:tplc="1280245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90208"/>
    <w:multiLevelType w:val="hybridMultilevel"/>
    <w:tmpl w:val="9030E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83336"/>
    <w:multiLevelType w:val="hybridMultilevel"/>
    <w:tmpl w:val="4A307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A2DE3"/>
    <w:multiLevelType w:val="hybridMultilevel"/>
    <w:tmpl w:val="74182CB8"/>
    <w:lvl w:ilvl="0" w:tplc="C11E314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C0CC2"/>
    <w:multiLevelType w:val="hybridMultilevel"/>
    <w:tmpl w:val="6FFEDA50"/>
    <w:lvl w:ilvl="0" w:tplc="837234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0112B"/>
    <w:multiLevelType w:val="hybridMultilevel"/>
    <w:tmpl w:val="C6402AB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276E2A6">
      <w:start w:val="1"/>
      <w:numFmt w:val="decimal"/>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D4B32"/>
    <w:multiLevelType w:val="hybridMultilevel"/>
    <w:tmpl w:val="1018F018"/>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BE44154"/>
    <w:multiLevelType w:val="hybridMultilevel"/>
    <w:tmpl w:val="B112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F3343"/>
    <w:multiLevelType w:val="hybridMultilevel"/>
    <w:tmpl w:val="46EC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75B78"/>
    <w:multiLevelType w:val="hybridMultilevel"/>
    <w:tmpl w:val="8334EFD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5197494C"/>
    <w:multiLevelType w:val="hybridMultilevel"/>
    <w:tmpl w:val="68501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53DF6"/>
    <w:multiLevelType w:val="hybridMultilevel"/>
    <w:tmpl w:val="E82C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E6549"/>
    <w:multiLevelType w:val="hybridMultilevel"/>
    <w:tmpl w:val="2F88E58E"/>
    <w:lvl w:ilvl="0" w:tplc="E214CCE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74B07"/>
    <w:multiLevelType w:val="hybridMultilevel"/>
    <w:tmpl w:val="DA162D8A"/>
    <w:lvl w:ilvl="0" w:tplc="A614EB7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74DEF"/>
    <w:multiLevelType w:val="hybridMultilevel"/>
    <w:tmpl w:val="8B64F4D2"/>
    <w:lvl w:ilvl="0" w:tplc="CDF4A3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14533"/>
    <w:multiLevelType w:val="hybridMultilevel"/>
    <w:tmpl w:val="F9700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010780"/>
    <w:multiLevelType w:val="hybridMultilevel"/>
    <w:tmpl w:val="E04A2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B83B50"/>
    <w:multiLevelType w:val="hybridMultilevel"/>
    <w:tmpl w:val="E7485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860D7"/>
    <w:multiLevelType w:val="hybridMultilevel"/>
    <w:tmpl w:val="C10EC5C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15:restartNumberingAfterBreak="0">
    <w:nsid w:val="63186424"/>
    <w:multiLevelType w:val="hybridMultilevel"/>
    <w:tmpl w:val="5068F6F8"/>
    <w:lvl w:ilvl="0" w:tplc="633696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D0967"/>
    <w:multiLevelType w:val="hybridMultilevel"/>
    <w:tmpl w:val="B000649A"/>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15:restartNumberingAfterBreak="0">
    <w:nsid w:val="6BF61167"/>
    <w:multiLevelType w:val="hybridMultilevel"/>
    <w:tmpl w:val="1ADCE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57DEB"/>
    <w:multiLevelType w:val="hybridMultilevel"/>
    <w:tmpl w:val="E256791A"/>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15:restartNumberingAfterBreak="0">
    <w:nsid w:val="711D2648"/>
    <w:multiLevelType w:val="hybridMultilevel"/>
    <w:tmpl w:val="541E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51091"/>
    <w:multiLevelType w:val="hybridMultilevel"/>
    <w:tmpl w:val="2836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2273C"/>
    <w:multiLevelType w:val="hybridMultilevel"/>
    <w:tmpl w:val="43F8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17841"/>
    <w:multiLevelType w:val="hybridMultilevel"/>
    <w:tmpl w:val="2FB0C3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835E9"/>
    <w:multiLevelType w:val="hybridMultilevel"/>
    <w:tmpl w:val="AF0E397E"/>
    <w:lvl w:ilvl="0" w:tplc="11F8BA5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B3276"/>
    <w:multiLevelType w:val="hybridMultilevel"/>
    <w:tmpl w:val="0BBA6090"/>
    <w:lvl w:ilvl="0" w:tplc="A6C08E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64B9A"/>
    <w:multiLevelType w:val="hybridMultilevel"/>
    <w:tmpl w:val="0794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C7D60"/>
    <w:multiLevelType w:val="hybridMultilevel"/>
    <w:tmpl w:val="44B0A06A"/>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6" w15:restartNumberingAfterBreak="0">
    <w:nsid w:val="7D7E1A15"/>
    <w:multiLevelType w:val="hybridMultilevel"/>
    <w:tmpl w:val="9A96FB8A"/>
    <w:lvl w:ilvl="0" w:tplc="695EA85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974D7B"/>
    <w:multiLevelType w:val="hybridMultilevel"/>
    <w:tmpl w:val="7506D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16"/>
  </w:num>
  <w:num w:numId="4">
    <w:abstractNumId w:val="42"/>
  </w:num>
  <w:num w:numId="5">
    <w:abstractNumId w:val="27"/>
  </w:num>
  <w:num w:numId="6">
    <w:abstractNumId w:val="7"/>
  </w:num>
  <w:num w:numId="7">
    <w:abstractNumId w:val="9"/>
  </w:num>
  <w:num w:numId="8">
    <w:abstractNumId w:val="8"/>
  </w:num>
  <w:num w:numId="9">
    <w:abstractNumId w:val="2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6"/>
  </w:num>
  <w:num w:numId="13">
    <w:abstractNumId w:val="17"/>
  </w:num>
  <w:num w:numId="14">
    <w:abstractNumId w:val="41"/>
  </w:num>
  <w:num w:numId="15">
    <w:abstractNumId w:val="1"/>
  </w:num>
  <w:num w:numId="16">
    <w:abstractNumId w:val="20"/>
  </w:num>
  <w:num w:numId="17">
    <w:abstractNumId w:val="30"/>
  </w:num>
  <w:num w:numId="18">
    <w:abstractNumId w:val="11"/>
  </w:num>
  <w:num w:numId="19">
    <w:abstractNumId w:val="21"/>
  </w:num>
  <w:num w:numId="20">
    <w:abstractNumId w:val="4"/>
  </w:num>
  <w:num w:numId="21">
    <w:abstractNumId w:val="14"/>
  </w:num>
  <w:num w:numId="22">
    <w:abstractNumId w:val="33"/>
  </w:num>
  <w:num w:numId="23">
    <w:abstractNumId w:val="24"/>
  </w:num>
  <w:num w:numId="24">
    <w:abstractNumId w:val="45"/>
  </w:num>
  <w:num w:numId="25">
    <w:abstractNumId w:val="35"/>
  </w:num>
  <w:num w:numId="26">
    <w:abstractNumId w:val="37"/>
  </w:num>
  <w:num w:numId="27">
    <w:abstractNumId w:val="47"/>
  </w:num>
  <w:num w:numId="28">
    <w:abstractNumId w:val="25"/>
  </w:num>
  <w:num w:numId="29">
    <w:abstractNumId w:val="31"/>
  </w:num>
  <w:num w:numId="30">
    <w:abstractNumId w:val="12"/>
  </w:num>
  <w:num w:numId="31">
    <w:abstractNumId w:val="26"/>
  </w:num>
  <w:num w:numId="32">
    <w:abstractNumId w:val="6"/>
  </w:num>
  <w:num w:numId="33">
    <w:abstractNumId w:val="44"/>
  </w:num>
  <w:num w:numId="34">
    <w:abstractNumId w:val="32"/>
  </w:num>
  <w:num w:numId="35">
    <w:abstractNumId w:val="39"/>
  </w:num>
  <w:num w:numId="36">
    <w:abstractNumId w:val="43"/>
  </w:num>
  <w:num w:numId="37">
    <w:abstractNumId w:val="38"/>
  </w:num>
  <w:num w:numId="38">
    <w:abstractNumId w:val="28"/>
  </w:num>
  <w:num w:numId="39">
    <w:abstractNumId w:val="2"/>
  </w:num>
  <w:num w:numId="40">
    <w:abstractNumId w:val="10"/>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4"/>
  </w:num>
  <w:num w:numId="44">
    <w:abstractNumId w:val="19"/>
  </w:num>
  <w:num w:numId="45">
    <w:abstractNumId w:val="29"/>
  </w:num>
  <w:num w:numId="46">
    <w:abstractNumId w:val="5"/>
  </w:num>
  <w:num w:numId="47">
    <w:abstractNumId w:val="15"/>
  </w:num>
  <w:num w:numId="48">
    <w:abstractNumId w:val="1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E7"/>
    <w:rsid w:val="00000FFF"/>
    <w:rsid w:val="00002B57"/>
    <w:rsid w:val="00004250"/>
    <w:rsid w:val="00005B95"/>
    <w:rsid w:val="00005BC0"/>
    <w:rsid w:val="00007BB1"/>
    <w:rsid w:val="000135A9"/>
    <w:rsid w:val="0001515E"/>
    <w:rsid w:val="00017A81"/>
    <w:rsid w:val="00017BB6"/>
    <w:rsid w:val="0002030B"/>
    <w:rsid w:val="00023347"/>
    <w:rsid w:val="00024875"/>
    <w:rsid w:val="000255CD"/>
    <w:rsid w:val="0002606E"/>
    <w:rsid w:val="00030753"/>
    <w:rsid w:val="000310BD"/>
    <w:rsid w:val="00034755"/>
    <w:rsid w:val="00036523"/>
    <w:rsid w:val="00036871"/>
    <w:rsid w:val="00037FCD"/>
    <w:rsid w:val="00041463"/>
    <w:rsid w:val="00041BE6"/>
    <w:rsid w:val="0004285F"/>
    <w:rsid w:val="00043363"/>
    <w:rsid w:val="00043F65"/>
    <w:rsid w:val="0004426F"/>
    <w:rsid w:val="00045891"/>
    <w:rsid w:val="00047443"/>
    <w:rsid w:val="000474F8"/>
    <w:rsid w:val="000504A0"/>
    <w:rsid w:val="0005235B"/>
    <w:rsid w:val="00052A1F"/>
    <w:rsid w:val="0005327F"/>
    <w:rsid w:val="00054FB4"/>
    <w:rsid w:val="00055288"/>
    <w:rsid w:val="000554F2"/>
    <w:rsid w:val="00055615"/>
    <w:rsid w:val="00056018"/>
    <w:rsid w:val="00062AA9"/>
    <w:rsid w:val="00062ED7"/>
    <w:rsid w:val="0006307B"/>
    <w:rsid w:val="00063EBF"/>
    <w:rsid w:val="000643F5"/>
    <w:rsid w:val="00065024"/>
    <w:rsid w:val="000663BD"/>
    <w:rsid w:val="000666DD"/>
    <w:rsid w:val="0006793B"/>
    <w:rsid w:val="00067A8B"/>
    <w:rsid w:val="000707EE"/>
    <w:rsid w:val="00071089"/>
    <w:rsid w:val="00073F8C"/>
    <w:rsid w:val="00075217"/>
    <w:rsid w:val="00075949"/>
    <w:rsid w:val="0007610D"/>
    <w:rsid w:val="0007646B"/>
    <w:rsid w:val="0007773A"/>
    <w:rsid w:val="00080C46"/>
    <w:rsid w:val="00081D6A"/>
    <w:rsid w:val="00083455"/>
    <w:rsid w:val="0008447C"/>
    <w:rsid w:val="000863FE"/>
    <w:rsid w:val="000866A0"/>
    <w:rsid w:val="00086E2D"/>
    <w:rsid w:val="00086FE9"/>
    <w:rsid w:val="0009099F"/>
    <w:rsid w:val="0009263F"/>
    <w:rsid w:val="00093A36"/>
    <w:rsid w:val="0009483F"/>
    <w:rsid w:val="00097080"/>
    <w:rsid w:val="000A011D"/>
    <w:rsid w:val="000A2E56"/>
    <w:rsid w:val="000A44F5"/>
    <w:rsid w:val="000A4C93"/>
    <w:rsid w:val="000A73C5"/>
    <w:rsid w:val="000A74B1"/>
    <w:rsid w:val="000A79E6"/>
    <w:rsid w:val="000B0F56"/>
    <w:rsid w:val="000B1B84"/>
    <w:rsid w:val="000B45AE"/>
    <w:rsid w:val="000B5B12"/>
    <w:rsid w:val="000B5B54"/>
    <w:rsid w:val="000B7FD9"/>
    <w:rsid w:val="000C083C"/>
    <w:rsid w:val="000C326B"/>
    <w:rsid w:val="000C3A39"/>
    <w:rsid w:val="000C3C58"/>
    <w:rsid w:val="000C3D54"/>
    <w:rsid w:val="000C477B"/>
    <w:rsid w:val="000C5029"/>
    <w:rsid w:val="000C5937"/>
    <w:rsid w:val="000C5CA8"/>
    <w:rsid w:val="000D00EC"/>
    <w:rsid w:val="000D08A9"/>
    <w:rsid w:val="000D128B"/>
    <w:rsid w:val="000D13FB"/>
    <w:rsid w:val="000D1A19"/>
    <w:rsid w:val="000D2933"/>
    <w:rsid w:val="000D3767"/>
    <w:rsid w:val="000D41AC"/>
    <w:rsid w:val="000D48D6"/>
    <w:rsid w:val="000D6061"/>
    <w:rsid w:val="000D7880"/>
    <w:rsid w:val="000D7F82"/>
    <w:rsid w:val="000E0949"/>
    <w:rsid w:val="000E2CC5"/>
    <w:rsid w:val="000E34B7"/>
    <w:rsid w:val="000E554A"/>
    <w:rsid w:val="000F0079"/>
    <w:rsid w:val="000F1DF2"/>
    <w:rsid w:val="000F2BD0"/>
    <w:rsid w:val="000F4695"/>
    <w:rsid w:val="000F5465"/>
    <w:rsid w:val="000F6A19"/>
    <w:rsid w:val="00100FB8"/>
    <w:rsid w:val="00101DC0"/>
    <w:rsid w:val="00102589"/>
    <w:rsid w:val="00103412"/>
    <w:rsid w:val="0010608B"/>
    <w:rsid w:val="001060D3"/>
    <w:rsid w:val="0010685E"/>
    <w:rsid w:val="00106C78"/>
    <w:rsid w:val="0011062B"/>
    <w:rsid w:val="00110812"/>
    <w:rsid w:val="00111278"/>
    <w:rsid w:val="00112A1E"/>
    <w:rsid w:val="00115991"/>
    <w:rsid w:val="001172AE"/>
    <w:rsid w:val="0011788C"/>
    <w:rsid w:val="001208C5"/>
    <w:rsid w:val="00120EDF"/>
    <w:rsid w:val="0012165A"/>
    <w:rsid w:val="00125ECF"/>
    <w:rsid w:val="001266D0"/>
    <w:rsid w:val="00127C8A"/>
    <w:rsid w:val="00130802"/>
    <w:rsid w:val="00131B62"/>
    <w:rsid w:val="00131CEC"/>
    <w:rsid w:val="001324F4"/>
    <w:rsid w:val="001358D6"/>
    <w:rsid w:val="00136516"/>
    <w:rsid w:val="001375E1"/>
    <w:rsid w:val="001416CD"/>
    <w:rsid w:val="001417D8"/>
    <w:rsid w:val="00141C96"/>
    <w:rsid w:val="00142294"/>
    <w:rsid w:val="00144795"/>
    <w:rsid w:val="0014700C"/>
    <w:rsid w:val="00147046"/>
    <w:rsid w:val="00147AD2"/>
    <w:rsid w:val="00147FD6"/>
    <w:rsid w:val="00150F07"/>
    <w:rsid w:val="0015156C"/>
    <w:rsid w:val="0015191F"/>
    <w:rsid w:val="001527E0"/>
    <w:rsid w:val="00152935"/>
    <w:rsid w:val="00152A1F"/>
    <w:rsid w:val="00153A70"/>
    <w:rsid w:val="00154D22"/>
    <w:rsid w:val="0015512B"/>
    <w:rsid w:val="00155571"/>
    <w:rsid w:val="001567A3"/>
    <w:rsid w:val="00160328"/>
    <w:rsid w:val="00163AC1"/>
    <w:rsid w:val="00166502"/>
    <w:rsid w:val="00167C99"/>
    <w:rsid w:val="00167EFE"/>
    <w:rsid w:val="00170459"/>
    <w:rsid w:val="001706B9"/>
    <w:rsid w:val="00170926"/>
    <w:rsid w:val="00171253"/>
    <w:rsid w:val="001713E3"/>
    <w:rsid w:val="00171FD6"/>
    <w:rsid w:val="00172413"/>
    <w:rsid w:val="00172713"/>
    <w:rsid w:val="0017295F"/>
    <w:rsid w:val="001729F2"/>
    <w:rsid w:val="0017409C"/>
    <w:rsid w:val="001748C3"/>
    <w:rsid w:val="001748D6"/>
    <w:rsid w:val="00174BCB"/>
    <w:rsid w:val="0017618C"/>
    <w:rsid w:val="00176347"/>
    <w:rsid w:val="00180A5F"/>
    <w:rsid w:val="0018206E"/>
    <w:rsid w:val="00182459"/>
    <w:rsid w:val="001825A8"/>
    <w:rsid w:val="00182CBB"/>
    <w:rsid w:val="00182EE9"/>
    <w:rsid w:val="001847CE"/>
    <w:rsid w:val="00184FC0"/>
    <w:rsid w:val="00185C22"/>
    <w:rsid w:val="00185E77"/>
    <w:rsid w:val="001862E6"/>
    <w:rsid w:val="001902CE"/>
    <w:rsid w:val="00190AA5"/>
    <w:rsid w:val="0019143D"/>
    <w:rsid w:val="00192AB1"/>
    <w:rsid w:val="00193BB3"/>
    <w:rsid w:val="00194C46"/>
    <w:rsid w:val="00195004"/>
    <w:rsid w:val="00195529"/>
    <w:rsid w:val="001A1B2F"/>
    <w:rsid w:val="001A1BE2"/>
    <w:rsid w:val="001A2442"/>
    <w:rsid w:val="001A351F"/>
    <w:rsid w:val="001A3E32"/>
    <w:rsid w:val="001A4D5E"/>
    <w:rsid w:val="001A59D8"/>
    <w:rsid w:val="001A5F64"/>
    <w:rsid w:val="001A6628"/>
    <w:rsid w:val="001A7472"/>
    <w:rsid w:val="001A7E74"/>
    <w:rsid w:val="001B0754"/>
    <w:rsid w:val="001B0D82"/>
    <w:rsid w:val="001B1778"/>
    <w:rsid w:val="001B2DC7"/>
    <w:rsid w:val="001B396C"/>
    <w:rsid w:val="001B45CE"/>
    <w:rsid w:val="001B4FA0"/>
    <w:rsid w:val="001B5252"/>
    <w:rsid w:val="001B57AE"/>
    <w:rsid w:val="001B5AC7"/>
    <w:rsid w:val="001B5B24"/>
    <w:rsid w:val="001B6369"/>
    <w:rsid w:val="001B677A"/>
    <w:rsid w:val="001B686E"/>
    <w:rsid w:val="001C01D8"/>
    <w:rsid w:val="001C0E76"/>
    <w:rsid w:val="001C1396"/>
    <w:rsid w:val="001C1993"/>
    <w:rsid w:val="001C4173"/>
    <w:rsid w:val="001C4F32"/>
    <w:rsid w:val="001C52D8"/>
    <w:rsid w:val="001C58BE"/>
    <w:rsid w:val="001C6307"/>
    <w:rsid w:val="001C6988"/>
    <w:rsid w:val="001C7034"/>
    <w:rsid w:val="001D04C3"/>
    <w:rsid w:val="001D111E"/>
    <w:rsid w:val="001D155B"/>
    <w:rsid w:val="001D1590"/>
    <w:rsid w:val="001D18DC"/>
    <w:rsid w:val="001D24B1"/>
    <w:rsid w:val="001D45F9"/>
    <w:rsid w:val="001D4749"/>
    <w:rsid w:val="001D498D"/>
    <w:rsid w:val="001D5566"/>
    <w:rsid w:val="001D7A69"/>
    <w:rsid w:val="001E01BB"/>
    <w:rsid w:val="001E3A5D"/>
    <w:rsid w:val="001E416B"/>
    <w:rsid w:val="001E616F"/>
    <w:rsid w:val="001E6C67"/>
    <w:rsid w:val="001F0A4F"/>
    <w:rsid w:val="001F0A53"/>
    <w:rsid w:val="001F244D"/>
    <w:rsid w:val="001F27AC"/>
    <w:rsid w:val="001F2984"/>
    <w:rsid w:val="001F3880"/>
    <w:rsid w:val="001F3ABB"/>
    <w:rsid w:val="001F46E6"/>
    <w:rsid w:val="001F541E"/>
    <w:rsid w:val="001F5FC2"/>
    <w:rsid w:val="001F7C81"/>
    <w:rsid w:val="001F7DF3"/>
    <w:rsid w:val="0020154F"/>
    <w:rsid w:val="00201F6D"/>
    <w:rsid w:val="0020270C"/>
    <w:rsid w:val="00203C53"/>
    <w:rsid w:val="00204550"/>
    <w:rsid w:val="00204781"/>
    <w:rsid w:val="0020483D"/>
    <w:rsid w:val="00205D89"/>
    <w:rsid w:val="0020622D"/>
    <w:rsid w:val="002073CF"/>
    <w:rsid w:val="002074E7"/>
    <w:rsid w:val="00207D6E"/>
    <w:rsid w:val="00211130"/>
    <w:rsid w:val="00211F33"/>
    <w:rsid w:val="002120E3"/>
    <w:rsid w:val="00212D46"/>
    <w:rsid w:val="00212F74"/>
    <w:rsid w:val="002131D9"/>
    <w:rsid w:val="00215521"/>
    <w:rsid w:val="00216251"/>
    <w:rsid w:val="00216493"/>
    <w:rsid w:val="002171A0"/>
    <w:rsid w:val="00217B9C"/>
    <w:rsid w:val="00220A25"/>
    <w:rsid w:val="002215DF"/>
    <w:rsid w:val="00221786"/>
    <w:rsid w:val="00221AD8"/>
    <w:rsid w:val="00224757"/>
    <w:rsid w:val="002248CE"/>
    <w:rsid w:val="00224BD5"/>
    <w:rsid w:val="00225F5E"/>
    <w:rsid w:val="0022755B"/>
    <w:rsid w:val="00227801"/>
    <w:rsid w:val="002300B7"/>
    <w:rsid w:val="00230693"/>
    <w:rsid w:val="00232C73"/>
    <w:rsid w:val="00235024"/>
    <w:rsid w:val="002350DA"/>
    <w:rsid w:val="00235942"/>
    <w:rsid w:val="00235FAC"/>
    <w:rsid w:val="00237616"/>
    <w:rsid w:val="00240AD5"/>
    <w:rsid w:val="002412C8"/>
    <w:rsid w:val="00241A55"/>
    <w:rsid w:val="00241CA2"/>
    <w:rsid w:val="002428D3"/>
    <w:rsid w:val="00244C88"/>
    <w:rsid w:val="0024580F"/>
    <w:rsid w:val="0024755F"/>
    <w:rsid w:val="002533DC"/>
    <w:rsid w:val="00253499"/>
    <w:rsid w:val="002542A2"/>
    <w:rsid w:val="00254FD0"/>
    <w:rsid w:val="0025546C"/>
    <w:rsid w:val="002568E9"/>
    <w:rsid w:val="002573BD"/>
    <w:rsid w:val="00260038"/>
    <w:rsid w:val="002612ED"/>
    <w:rsid w:val="00261AF5"/>
    <w:rsid w:val="0026209A"/>
    <w:rsid w:val="00262A25"/>
    <w:rsid w:val="00264934"/>
    <w:rsid w:val="00265115"/>
    <w:rsid w:val="00265E17"/>
    <w:rsid w:val="002661D7"/>
    <w:rsid w:val="002673D1"/>
    <w:rsid w:val="00267608"/>
    <w:rsid w:val="00267D29"/>
    <w:rsid w:val="00270053"/>
    <w:rsid w:val="00272E31"/>
    <w:rsid w:val="00272E3E"/>
    <w:rsid w:val="002759AD"/>
    <w:rsid w:val="002762E4"/>
    <w:rsid w:val="00276BF7"/>
    <w:rsid w:val="00277034"/>
    <w:rsid w:val="0028042D"/>
    <w:rsid w:val="00280B9C"/>
    <w:rsid w:val="00280EC4"/>
    <w:rsid w:val="00281C6E"/>
    <w:rsid w:val="00282BC5"/>
    <w:rsid w:val="002835E3"/>
    <w:rsid w:val="0028409E"/>
    <w:rsid w:val="00284482"/>
    <w:rsid w:val="00284A8C"/>
    <w:rsid w:val="00285724"/>
    <w:rsid w:val="0028583F"/>
    <w:rsid w:val="0029010F"/>
    <w:rsid w:val="002907AC"/>
    <w:rsid w:val="00290EEF"/>
    <w:rsid w:val="002920A9"/>
    <w:rsid w:val="00292E3B"/>
    <w:rsid w:val="00294725"/>
    <w:rsid w:val="002964F1"/>
    <w:rsid w:val="00296637"/>
    <w:rsid w:val="002966F8"/>
    <w:rsid w:val="002971FF"/>
    <w:rsid w:val="00297BA0"/>
    <w:rsid w:val="002A22A2"/>
    <w:rsid w:val="002A235B"/>
    <w:rsid w:val="002A3796"/>
    <w:rsid w:val="002A408A"/>
    <w:rsid w:val="002A7188"/>
    <w:rsid w:val="002A77AC"/>
    <w:rsid w:val="002B0079"/>
    <w:rsid w:val="002B0935"/>
    <w:rsid w:val="002B0B0D"/>
    <w:rsid w:val="002B11DE"/>
    <w:rsid w:val="002B1411"/>
    <w:rsid w:val="002B3208"/>
    <w:rsid w:val="002B3B4B"/>
    <w:rsid w:val="002B5761"/>
    <w:rsid w:val="002B646B"/>
    <w:rsid w:val="002B67E6"/>
    <w:rsid w:val="002B798C"/>
    <w:rsid w:val="002C0430"/>
    <w:rsid w:val="002C13D0"/>
    <w:rsid w:val="002C3B7C"/>
    <w:rsid w:val="002C6D17"/>
    <w:rsid w:val="002C78C3"/>
    <w:rsid w:val="002C7D96"/>
    <w:rsid w:val="002D0F18"/>
    <w:rsid w:val="002D12E2"/>
    <w:rsid w:val="002D204F"/>
    <w:rsid w:val="002D264C"/>
    <w:rsid w:val="002D2937"/>
    <w:rsid w:val="002D33BD"/>
    <w:rsid w:val="002D4632"/>
    <w:rsid w:val="002D6759"/>
    <w:rsid w:val="002D741C"/>
    <w:rsid w:val="002D76B0"/>
    <w:rsid w:val="002D78EF"/>
    <w:rsid w:val="002E0271"/>
    <w:rsid w:val="002E0EBD"/>
    <w:rsid w:val="002E0EC1"/>
    <w:rsid w:val="002E1A85"/>
    <w:rsid w:val="002E251C"/>
    <w:rsid w:val="002E2A7D"/>
    <w:rsid w:val="002E4020"/>
    <w:rsid w:val="002E550A"/>
    <w:rsid w:val="002E56B6"/>
    <w:rsid w:val="002E6DEA"/>
    <w:rsid w:val="002E7158"/>
    <w:rsid w:val="002E7257"/>
    <w:rsid w:val="002E7656"/>
    <w:rsid w:val="002E795E"/>
    <w:rsid w:val="002F0471"/>
    <w:rsid w:val="002F06EF"/>
    <w:rsid w:val="002F1880"/>
    <w:rsid w:val="002F1BFF"/>
    <w:rsid w:val="002F334F"/>
    <w:rsid w:val="002F3A19"/>
    <w:rsid w:val="002F4A8F"/>
    <w:rsid w:val="002F70E9"/>
    <w:rsid w:val="002F7613"/>
    <w:rsid w:val="00300869"/>
    <w:rsid w:val="003013EA"/>
    <w:rsid w:val="0030332E"/>
    <w:rsid w:val="00303D0E"/>
    <w:rsid w:val="00304065"/>
    <w:rsid w:val="00304FB6"/>
    <w:rsid w:val="0030520A"/>
    <w:rsid w:val="00305C53"/>
    <w:rsid w:val="003062F5"/>
    <w:rsid w:val="00306804"/>
    <w:rsid w:val="00306D34"/>
    <w:rsid w:val="003074A4"/>
    <w:rsid w:val="0031100E"/>
    <w:rsid w:val="00311183"/>
    <w:rsid w:val="00311B93"/>
    <w:rsid w:val="0031559B"/>
    <w:rsid w:val="00315F7F"/>
    <w:rsid w:val="00316699"/>
    <w:rsid w:val="003206F5"/>
    <w:rsid w:val="00321663"/>
    <w:rsid w:val="00321AB8"/>
    <w:rsid w:val="00321CAC"/>
    <w:rsid w:val="003236ED"/>
    <w:rsid w:val="003268E6"/>
    <w:rsid w:val="00327C83"/>
    <w:rsid w:val="00330BBC"/>
    <w:rsid w:val="00330C1E"/>
    <w:rsid w:val="00331109"/>
    <w:rsid w:val="0033190E"/>
    <w:rsid w:val="003322C8"/>
    <w:rsid w:val="003327F2"/>
    <w:rsid w:val="003332C6"/>
    <w:rsid w:val="00333B90"/>
    <w:rsid w:val="0033567F"/>
    <w:rsid w:val="00336B05"/>
    <w:rsid w:val="00337869"/>
    <w:rsid w:val="00340B29"/>
    <w:rsid w:val="0034174D"/>
    <w:rsid w:val="00342611"/>
    <w:rsid w:val="003432BA"/>
    <w:rsid w:val="00343BE2"/>
    <w:rsid w:val="00343F42"/>
    <w:rsid w:val="003453A2"/>
    <w:rsid w:val="00345D9A"/>
    <w:rsid w:val="00346C9C"/>
    <w:rsid w:val="00346D7D"/>
    <w:rsid w:val="003473E6"/>
    <w:rsid w:val="0034744E"/>
    <w:rsid w:val="003477C5"/>
    <w:rsid w:val="0035094B"/>
    <w:rsid w:val="00352265"/>
    <w:rsid w:val="0035537A"/>
    <w:rsid w:val="00355A8B"/>
    <w:rsid w:val="003601C1"/>
    <w:rsid w:val="00360657"/>
    <w:rsid w:val="00360DB5"/>
    <w:rsid w:val="00361C7A"/>
    <w:rsid w:val="0036242B"/>
    <w:rsid w:val="00363735"/>
    <w:rsid w:val="00365CF0"/>
    <w:rsid w:val="0036670A"/>
    <w:rsid w:val="00367967"/>
    <w:rsid w:val="00367A45"/>
    <w:rsid w:val="00367DAC"/>
    <w:rsid w:val="00372A6C"/>
    <w:rsid w:val="00373B94"/>
    <w:rsid w:val="00375834"/>
    <w:rsid w:val="003760C2"/>
    <w:rsid w:val="003761A9"/>
    <w:rsid w:val="00381AF0"/>
    <w:rsid w:val="003827BF"/>
    <w:rsid w:val="00382F10"/>
    <w:rsid w:val="00383596"/>
    <w:rsid w:val="00383EFA"/>
    <w:rsid w:val="00383F49"/>
    <w:rsid w:val="00384336"/>
    <w:rsid w:val="0038573F"/>
    <w:rsid w:val="003861C8"/>
    <w:rsid w:val="003924E4"/>
    <w:rsid w:val="00392D4E"/>
    <w:rsid w:val="00393548"/>
    <w:rsid w:val="003937CA"/>
    <w:rsid w:val="0039386D"/>
    <w:rsid w:val="003943C3"/>
    <w:rsid w:val="00395801"/>
    <w:rsid w:val="00395940"/>
    <w:rsid w:val="00396176"/>
    <w:rsid w:val="0039662D"/>
    <w:rsid w:val="00396669"/>
    <w:rsid w:val="003972A1"/>
    <w:rsid w:val="003A09F4"/>
    <w:rsid w:val="003A0A86"/>
    <w:rsid w:val="003A17B6"/>
    <w:rsid w:val="003A2737"/>
    <w:rsid w:val="003A41A9"/>
    <w:rsid w:val="003A4915"/>
    <w:rsid w:val="003A4D97"/>
    <w:rsid w:val="003A5DF4"/>
    <w:rsid w:val="003A60FA"/>
    <w:rsid w:val="003A7390"/>
    <w:rsid w:val="003A7ACD"/>
    <w:rsid w:val="003A7E7D"/>
    <w:rsid w:val="003B0555"/>
    <w:rsid w:val="003B06B8"/>
    <w:rsid w:val="003B38BC"/>
    <w:rsid w:val="003B4408"/>
    <w:rsid w:val="003B5308"/>
    <w:rsid w:val="003B530E"/>
    <w:rsid w:val="003B6494"/>
    <w:rsid w:val="003B665B"/>
    <w:rsid w:val="003B69AF"/>
    <w:rsid w:val="003B6A0C"/>
    <w:rsid w:val="003B74C5"/>
    <w:rsid w:val="003B753E"/>
    <w:rsid w:val="003B7EFA"/>
    <w:rsid w:val="003C09FB"/>
    <w:rsid w:val="003C1D80"/>
    <w:rsid w:val="003C220E"/>
    <w:rsid w:val="003C304E"/>
    <w:rsid w:val="003C4766"/>
    <w:rsid w:val="003C4B0D"/>
    <w:rsid w:val="003C4B4F"/>
    <w:rsid w:val="003C6B8D"/>
    <w:rsid w:val="003C7AB3"/>
    <w:rsid w:val="003D1338"/>
    <w:rsid w:val="003D1556"/>
    <w:rsid w:val="003D3665"/>
    <w:rsid w:val="003D4B6A"/>
    <w:rsid w:val="003D4EDB"/>
    <w:rsid w:val="003D60BE"/>
    <w:rsid w:val="003D67FC"/>
    <w:rsid w:val="003D6879"/>
    <w:rsid w:val="003D7E62"/>
    <w:rsid w:val="003E0E8E"/>
    <w:rsid w:val="003E2EBF"/>
    <w:rsid w:val="003E3A1A"/>
    <w:rsid w:val="003E3B32"/>
    <w:rsid w:val="003E3C1B"/>
    <w:rsid w:val="003E4389"/>
    <w:rsid w:val="003E4BEF"/>
    <w:rsid w:val="003E5853"/>
    <w:rsid w:val="003E6775"/>
    <w:rsid w:val="003E6CBF"/>
    <w:rsid w:val="003F10DE"/>
    <w:rsid w:val="003F1343"/>
    <w:rsid w:val="003F17FF"/>
    <w:rsid w:val="003F24BD"/>
    <w:rsid w:val="003F2791"/>
    <w:rsid w:val="003F45CA"/>
    <w:rsid w:val="003F48B8"/>
    <w:rsid w:val="003F517A"/>
    <w:rsid w:val="003F5C03"/>
    <w:rsid w:val="003F6699"/>
    <w:rsid w:val="003F7312"/>
    <w:rsid w:val="003F772F"/>
    <w:rsid w:val="0040030C"/>
    <w:rsid w:val="00400A90"/>
    <w:rsid w:val="00401868"/>
    <w:rsid w:val="00401A45"/>
    <w:rsid w:val="00402C7F"/>
    <w:rsid w:val="00402DF7"/>
    <w:rsid w:val="004033B6"/>
    <w:rsid w:val="00403D0C"/>
    <w:rsid w:val="0040468D"/>
    <w:rsid w:val="004058BB"/>
    <w:rsid w:val="00407E39"/>
    <w:rsid w:val="00410339"/>
    <w:rsid w:val="00410A4D"/>
    <w:rsid w:val="00410ACF"/>
    <w:rsid w:val="00411774"/>
    <w:rsid w:val="00411E26"/>
    <w:rsid w:val="004127EA"/>
    <w:rsid w:val="00413D43"/>
    <w:rsid w:val="004172D8"/>
    <w:rsid w:val="00417569"/>
    <w:rsid w:val="00422262"/>
    <w:rsid w:val="00422E84"/>
    <w:rsid w:val="00423B03"/>
    <w:rsid w:val="00431627"/>
    <w:rsid w:val="004319DA"/>
    <w:rsid w:val="00433A6F"/>
    <w:rsid w:val="00433AB0"/>
    <w:rsid w:val="004347A6"/>
    <w:rsid w:val="00434C94"/>
    <w:rsid w:val="004356F1"/>
    <w:rsid w:val="00435FED"/>
    <w:rsid w:val="00436725"/>
    <w:rsid w:val="004373F2"/>
    <w:rsid w:val="00440508"/>
    <w:rsid w:val="00440FEB"/>
    <w:rsid w:val="004414D4"/>
    <w:rsid w:val="00441CD1"/>
    <w:rsid w:val="004423D7"/>
    <w:rsid w:val="004434BC"/>
    <w:rsid w:val="00444DEC"/>
    <w:rsid w:val="00444EA3"/>
    <w:rsid w:val="00445C41"/>
    <w:rsid w:val="00445E60"/>
    <w:rsid w:val="004464E5"/>
    <w:rsid w:val="004476EF"/>
    <w:rsid w:val="00450427"/>
    <w:rsid w:val="004509E7"/>
    <w:rsid w:val="00451000"/>
    <w:rsid w:val="0045161F"/>
    <w:rsid w:val="00451627"/>
    <w:rsid w:val="0045353A"/>
    <w:rsid w:val="004547DF"/>
    <w:rsid w:val="00455D00"/>
    <w:rsid w:val="00457BD9"/>
    <w:rsid w:val="00457EE4"/>
    <w:rsid w:val="0046024A"/>
    <w:rsid w:val="00460E6C"/>
    <w:rsid w:val="0046197A"/>
    <w:rsid w:val="00461ADD"/>
    <w:rsid w:val="004642DA"/>
    <w:rsid w:val="004642E7"/>
    <w:rsid w:val="004644EB"/>
    <w:rsid w:val="00466BDC"/>
    <w:rsid w:val="00466CFD"/>
    <w:rsid w:val="00466EC3"/>
    <w:rsid w:val="004712A8"/>
    <w:rsid w:val="00471398"/>
    <w:rsid w:val="00471F1D"/>
    <w:rsid w:val="00472EB9"/>
    <w:rsid w:val="0047465E"/>
    <w:rsid w:val="00474B91"/>
    <w:rsid w:val="00474D23"/>
    <w:rsid w:val="004750EB"/>
    <w:rsid w:val="004757FD"/>
    <w:rsid w:val="00477508"/>
    <w:rsid w:val="00477510"/>
    <w:rsid w:val="004778CC"/>
    <w:rsid w:val="004818FF"/>
    <w:rsid w:val="004820C1"/>
    <w:rsid w:val="00482E06"/>
    <w:rsid w:val="00483817"/>
    <w:rsid w:val="004840CC"/>
    <w:rsid w:val="004846E2"/>
    <w:rsid w:val="00484F20"/>
    <w:rsid w:val="00484FE2"/>
    <w:rsid w:val="004854CE"/>
    <w:rsid w:val="00485D4D"/>
    <w:rsid w:val="0048694B"/>
    <w:rsid w:val="004876E5"/>
    <w:rsid w:val="00487997"/>
    <w:rsid w:val="00487C17"/>
    <w:rsid w:val="00487F50"/>
    <w:rsid w:val="00490EC0"/>
    <w:rsid w:val="00492330"/>
    <w:rsid w:val="004923CE"/>
    <w:rsid w:val="004929D7"/>
    <w:rsid w:val="00493078"/>
    <w:rsid w:val="004934C0"/>
    <w:rsid w:val="00494E44"/>
    <w:rsid w:val="00494E74"/>
    <w:rsid w:val="004971D7"/>
    <w:rsid w:val="00497341"/>
    <w:rsid w:val="00497B91"/>
    <w:rsid w:val="00497C7E"/>
    <w:rsid w:val="00497F34"/>
    <w:rsid w:val="004A2A37"/>
    <w:rsid w:val="004A4575"/>
    <w:rsid w:val="004A4DB6"/>
    <w:rsid w:val="004B0375"/>
    <w:rsid w:val="004B0C6A"/>
    <w:rsid w:val="004B0EC2"/>
    <w:rsid w:val="004B167D"/>
    <w:rsid w:val="004B18BB"/>
    <w:rsid w:val="004B19C4"/>
    <w:rsid w:val="004B1E86"/>
    <w:rsid w:val="004B1F15"/>
    <w:rsid w:val="004B2647"/>
    <w:rsid w:val="004B2DBD"/>
    <w:rsid w:val="004B3C38"/>
    <w:rsid w:val="004B49E6"/>
    <w:rsid w:val="004B4C13"/>
    <w:rsid w:val="004B4FE7"/>
    <w:rsid w:val="004B5BD7"/>
    <w:rsid w:val="004B6040"/>
    <w:rsid w:val="004B78B9"/>
    <w:rsid w:val="004B7F49"/>
    <w:rsid w:val="004C06C2"/>
    <w:rsid w:val="004C1320"/>
    <w:rsid w:val="004C139A"/>
    <w:rsid w:val="004C2D1F"/>
    <w:rsid w:val="004C3A1D"/>
    <w:rsid w:val="004C5BBF"/>
    <w:rsid w:val="004C6F0F"/>
    <w:rsid w:val="004C6F10"/>
    <w:rsid w:val="004D1BBB"/>
    <w:rsid w:val="004D1DDD"/>
    <w:rsid w:val="004D212B"/>
    <w:rsid w:val="004D26D2"/>
    <w:rsid w:val="004D4BF5"/>
    <w:rsid w:val="004D514E"/>
    <w:rsid w:val="004D5D8F"/>
    <w:rsid w:val="004D700D"/>
    <w:rsid w:val="004D70C7"/>
    <w:rsid w:val="004E0708"/>
    <w:rsid w:val="004E0D78"/>
    <w:rsid w:val="004E0EE0"/>
    <w:rsid w:val="004E12E8"/>
    <w:rsid w:val="004E328C"/>
    <w:rsid w:val="004E3DDD"/>
    <w:rsid w:val="004E55DB"/>
    <w:rsid w:val="004E5EEF"/>
    <w:rsid w:val="004E6095"/>
    <w:rsid w:val="004E724C"/>
    <w:rsid w:val="004E7B77"/>
    <w:rsid w:val="004F1657"/>
    <w:rsid w:val="004F1833"/>
    <w:rsid w:val="004F2F98"/>
    <w:rsid w:val="004F4447"/>
    <w:rsid w:val="004F5378"/>
    <w:rsid w:val="004F64FC"/>
    <w:rsid w:val="004F6751"/>
    <w:rsid w:val="004F73AE"/>
    <w:rsid w:val="004F7D2C"/>
    <w:rsid w:val="00500108"/>
    <w:rsid w:val="005002DD"/>
    <w:rsid w:val="00500D84"/>
    <w:rsid w:val="005012BD"/>
    <w:rsid w:val="00501AC9"/>
    <w:rsid w:val="00502E61"/>
    <w:rsid w:val="00504442"/>
    <w:rsid w:val="00504A78"/>
    <w:rsid w:val="00504E74"/>
    <w:rsid w:val="00506413"/>
    <w:rsid w:val="005068A9"/>
    <w:rsid w:val="00507079"/>
    <w:rsid w:val="0050748A"/>
    <w:rsid w:val="00507B36"/>
    <w:rsid w:val="00510FBE"/>
    <w:rsid w:val="00511825"/>
    <w:rsid w:val="0051193A"/>
    <w:rsid w:val="00511B81"/>
    <w:rsid w:val="005124C3"/>
    <w:rsid w:val="00514458"/>
    <w:rsid w:val="00515CD7"/>
    <w:rsid w:val="00515DF3"/>
    <w:rsid w:val="005161DE"/>
    <w:rsid w:val="00521C19"/>
    <w:rsid w:val="00521DCC"/>
    <w:rsid w:val="00522085"/>
    <w:rsid w:val="005244E6"/>
    <w:rsid w:val="00526770"/>
    <w:rsid w:val="005302C2"/>
    <w:rsid w:val="00530D76"/>
    <w:rsid w:val="00531093"/>
    <w:rsid w:val="005317FD"/>
    <w:rsid w:val="00531B29"/>
    <w:rsid w:val="00531E83"/>
    <w:rsid w:val="0053392B"/>
    <w:rsid w:val="00534D23"/>
    <w:rsid w:val="00535879"/>
    <w:rsid w:val="00535E89"/>
    <w:rsid w:val="005364D7"/>
    <w:rsid w:val="00540ADF"/>
    <w:rsid w:val="0054109E"/>
    <w:rsid w:val="00543418"/>
    <w:rsid w:val="00543943"/>
    <w:rsid w:val="00543FCB"/>
    <w:rsid w:val="00544699"/>
    <w:rsid w:val="00545B93"/>
    <w:rsid w:val="00546D03"/>
    <w:rsid w:val="005505B3"/>
    <w:rsid w:val="00550D0B"/>
    <w:rsid w:val="00551437"/>
    <w:rsid w:val="0055177B"/>
    <w:rsid w:val="00551916"/>
    <w:rsid w:val="00551976"/>
    <w:rsid w:val="00551B2B"/>
    <w:rsid w:val="00553269"/>
    <w:rsid w:val="00555996"/>
    <w:rsid w:val="00555C92"/>
    <w:rsid w:val="0055694C"/>
    <w:rsid w:val="005579E8"/>
    <w:rsid w:val="0056087A"/>
    <w:rsid w:val="00561189"/>
    <w:rsid w:val="0056252C"/>
    <w:rsid w:val="0056314C"/>
    <w:rsid w:val="00565EBA"/>
    <w:rsid w:val="0056763A"/>
    <w:rsid w:val="00570943"/>
    <w:rsid w:val="0057171D"/>
    <w:rsid w:val="00571A8C"/>
    <w:rsid w:val="00572377"/>
    <w:rsid w:val="00573364"/>
    <w:rsid w:val="00574BEC"/>
    <w:rsid w:val="005752FB"/>
    <w:rsid w:val="00575C2B"/>
    <w:rsid w:val="00575EC2"/>
    <w:rsid w:val="00576C15"/>
    <w:rsid w:val="00576F73"/>
    <w:rsid w:val="00577AB4"/>
    <w:rsid w:val="00580D45"/>
    <w:rsid w:val="0058216F"/>
    <w:rsid w:val="00585C45"/>
    <w:rsid w:val="00590D9F"/>
    <w:rsid w:val="00592D0B"/>
    <w:rsid w:val="00593DA6"/>
    <w:rsid w:val="005975B3"/>
    <w:rsid w:val="005A17FE"/>
    <w:rsid w:val="005A1E7B"/>
    <w:rsid w:val="005A2966"/>
    <w:rsid w:val="005A4A69"/>
    <w:rsid w:val="005B0680"/>
    <w:rsid w:val="005B0A30"/>
    <w:rsid w:val="005B0EFF"/>
    <w:rsid w:val="005B13B0"/>
    <w:rsid w:val="005B1CB0"/>
    <w:rsid w:val="005B4E8F"/>
    <w:rsid w:val="005B62A2"/>
    <w:rsid w:val="005B7E02"/>
    <w:rsid w:val="005C178C"/>
    <w:rsid w:val="005C1DA1"/>
    <w:rsid w:val="005C22CA"/>
    <w:rsid w:val="005C3946"/>
    <w:rsid w:val="005C480B"/>
    <w:rsid w:val="005C5450"/>
    <w:rsid w:val="005C5E36"/>
    <w:rsid w:val="005C69C8"/>
    <w:rsid w:val="005D0E17"/>
    <w:rsid w:val="005D2E25"/>
    <w:rsid w:val="005D32EF"/>
    <w:rsid w:val="005D3ACD"/>
    <w:rsid w:val="005D4FEF"/>
    <w:rsid w:val="005D725D"/>
    <w:rsid w:val="005D7723"/>
    <w:rsid w:val="005E03A1"/>
    <w:rsid w:val="005E03CF"/>
    <w:rsid w:val="005E095E"/>
    <w:rsid w:val="005E1961"/>
    <w:rsid w:val="005E1DEB"/>
    <w:rsid w:val="005E2205"/>
    <w:rsid w:val="005E2E8C"/>
    <w:rsid w:val="005E3ED9"/>
    <w:rsid w:val="005E4CE1"/>
    <w:rsid w:val="005E50B8"/>
    <w:rsid w:val="005E77C8"/>
    <w:rsid w:val="005F1472"/>
    <w:rsid w:val="005F24AE"/>
    <w:rsid w:val="005F2E08"/>
    <w:rsid w:val="005F6AA8"/>
    <w:rsid w:val="005F763B"/>
    <w:rsid w:val="005F76CA"/>
    <w:rsid w:val="00600F36"/>
    <w:rsid w:val="00601B81"/>
    <w:rsid w:val="006020C9"/>
    <w:rsid w:val="00602C67"/>
    <w:rsid w:val="00604310"/>
    <w:rsid w:val="006046D1"/>
    <w:rsid w:val="00604B20"/>
    <w:rsid w:val="00605826"/>
    <w:rsid w:val="006064C0"/>
    <w:rsid w:val="00607ABE"/>
    <w:rsid w:val="00611747"/>
    <w:rsid w:val="00611F4C"/>
    <w:rsid w:val="00612F51"/>
    <w:rsid w:val="00613D91"/>
    <w:rsid w:val="0061469F"/>
    <w:rsid w:val="006152CE"/>
    <w:rsid w:val="006162BE"/>
    <w:rsid w:val="00620EB3"/>
    <w:rsid w:val="00621C0D"/>
    <w:rsid w:val="00621FD3"/>
    <w:rsid w:val="006221DA"/>
    <w:rsid w:val="00622DA1"/>
    <w:rsid w:val="00622FCC"/>
    <w:rsid w:val="0062325E"/>
    <w:rsid w:val="006234F9"/>
    <w:rsid w:val="006239C3"/>
    <w:rsid w:val="006239DB"/>
    <w:rsid w:val="0062460F"/>
    <w:rsid w:val="00625920"/>
    <w:rsid w:val="0062653B"/>
    <w:rsid w:val="00626A44"/>
    <w:rsid w:val="00630128"/>
    <w:rsid w:val="00630DDF"/>
    <w:rsid w:val="006313CA"/>
    <w:rsid w:val="006314CE"/>
    <w:rsid w:val="006317F2"/>
    <w:rsid w:val="0063348F"/>
    <w:rsid w:val="00633851"/>
    <w:rsid w:val="0063533D"/>
    <w:rsid w:val="00636477"/>
    <w:rsid w:val="00636AF5"/>
    <w:rsid w:val="006374D2"/>
    <w:rsid w:val="0063763F"/>
    <w:rsid w:val="00637C37"/>
    <w:rsid w:val="006413FC"/>
    <w:rsid w:val="00641CDB"/>
    <w:rsid w:val="00642F91"/>
    <w:rsid w:val="00643968"/>
    <w:rsid w:val="00644486"/>
    <w:rsid w:val="00644C7B"/>
    <w:rsid w:val="006454B7"/>
    <w:rsid w:val="0064602A"/>
    <w:rsid w:val="00647DD7"/>
    <w:rsid w:val="006508A7"/>
    <w:rsid w:val="006519F0"/>
    <w:rsid w:val="00652A4D"/>
    <w:rsid w:val="00652E44"/>
    <w:rsid w:val="0065340B"/>
    <w:rsid w:val="006554CD"/>
    <w:rsid w:val="006604BB"/>
    <w:rsid w:val="00662975"/>
    <w:rsid w:val="00662D49"/>
    <w:rsid w:val="00662F3B"/>
    <w:rsid w:val="00663A1A"/>
    <w:rsid w:val="00663B0C"/>
    <w:rsid w:val="006653A2"/>
    <w:rsid w:val="006656DE"/>
    <w:rsid w:val="00665D3E"/>
    <w:rsid w:val="00666C7E"/>
    <w:rsid w:val="00666EEE"/>
    <w:rsid w:val="0066762C"/>
    <w:rsid w:val="006676A1"/>
    <w:rsid w:val="00670586"/>
    <w:rsid w:val="00670C4E"/>
    <w:rsid w:val="00670D33"/>
    <w:rsid w:val="0067220C"/>
    <w:rsid w:val="0067281A"/>
    <w:rsid w:val="006731A2"/>
    <w:rsid w:val="00674360"/>
    <w:rsid w:val="00674B41"/>
    <w:rsid w:val="00676963"/>
    <w:rsid w:val="00677CE4"/>
    <w:rsid w:val="00681B56"/>
    <w:rsid w:val="00682CC7"/>
    <w:rsid w:val="00683150"/>
    <w:rsid w:val="00683549"/>
    <w:rsid w:val="006908B3"/>
    <w:rsid w:val="0069128C"/>
    <w:rsid w:val="006914F0"/>
    <w:rsid w:val="006922C1"/>
    <w:rsid w:val="00693050"/>
    <w:rsid w:val="00693CA4"/>
    <w:rsid w:val="006953D5"/>
    <w:rsid w:val="006960DD"/>
    <w:rsid w:val="0069698A"/>
    <w:rsid w:val="00696C8E"/>
    <w:rsid w:val="00696EE6"/>
    <w:rsid w:val="00697937"/>
    <w:rsid w:val="00697A6B"/>
    <w:rsid w:val="006A09AD"/>
    <w:rsid w:val="006A1088"/>
    <w:rsid w:val="006A2566"/>
    <w:rsid w:val="006A2E3F"/>
    <w:rsid w:val="006A4C46"/>
    <w:rsid w:val="006A4F28"/>
    <w:rsid w:val="006A5033"/>
    <w:rsid w:val="006A5704"/>
    <w:rsid w:val="006A698E"/>
    <w:rsid w:val="006A7945"/>
    <w:rsid w:val="006B0373"/>
    <w:rsid w:val="006B0837"/>
    <w:rsid w:val="006B2009"/>
    <w:rsid w:val="006B3970"/>
    <w:rsid w:val="006B5554"/>
    <w:rsid w:val="006B5E01"/>
    <w:rsid w:val="006B79E9"/>
    <w:rsid w:val="006B7AC9"/>
    <w:rsid w:val="006C0EC0"/>
    <w:rsid w:val="006C1D05"/>
    <w:rsid w:val="006C20F1"/>
    <w:rsid w:val="006C25E1"/>
    <w:rsid w:val="006C2713"/>
    <w:rsid w:val="006C30A2"/>
    <w:rsid w:val="006C3263"/>
    <w:rsid w:val="006C4150"/>
    <w:rsid w:val="006C41CC"/>
    <w:rsid w:val="006C5B16"/>
    <w:rsid w:val="006C6CA4"/>
    <w:rsid w:val="006C6E99"/>
    <w:rsid w:val="006C7A33"/>
    <w:rsid w:val="006D0831"/>
    <w:rsid w:val="006D2299"/>
    <w:rsid w:val="006D2498"/>
    <w:rsid w:val="006D26C5"/>
    <w:rsid w:val="006D31BD"/>
    <w:rsid w:val="006D4AC0"/>
    <w:rsid w:val="006D51CB"/>
    <w:rsid w:val="006D54AC"/>
    <w:rsid w:val="006D744B"/>
    <w:rsid w:val="006D7450"/>
    <w:rsid w:val="006E0296"/>
    <w:rsid w:val="006E0CA9"/>
    <w:rsid w:val="006E233A"/>
    <w:rsid w:val="006E2EB4"/>
    <w:rsid w:val="006E30C2"/>
    <w:rsid w:val="006E4401"/>
    <w:rsid w:val="006E46B3"/>
    <w:rsid w:val="006E5913"/>
    <w:rsid w:val="006E653D"/>
    <w:rsid w:val="006F06E7"/>
    <w:rsid w:val="006F0C73"/>
    <w:rsid w:val="006F51E9"/>
    <w:rsid w:val="006F66A6"/>
    <w:rsid w:val="006F74DC"/>
    <w:rsid w:val="006F7B37"/>
    <w:rsid w:val="0070021F"/>
    <w:rsid w:val="0070034A"/>
    <w:rsid w:val="0070088C"/>
    <w:rsid w:val="007015D3"/>
    <w:rsid w:val="007029FE"/>
    <w:rsid w:val="00702D6F"/>
    <w:rsid w:val="00703580"/>
    <w:rsid w:val="007036FF"/>
    <w:rsid w:val="00703873"/>
    <w:rsid w:val="0070423C"/>
    <w:rsid w:val="007043DA"/>
    <w:rsid w:val="00705D5B"/>
    <w:rsid w:val="00706792"/>
    <w:rsid w:val="0070694D"/>
    <w:rsid w:val="00706FE0"/>
    <w:rsid w:val="0070738B"/>
    <w:rsid w:val="00710373"/>
    <w:rsid w:val="0071082E"/>
    <w:rsid w:val="00711878"/>
    <w:rsid w:val="007120F2"/>
    <w:rsid w:val="00712B83"/>
    <w:rsid w:val="00712E39"/>
    <w:rsid w:val="00713F5F"/>
    <w:rsid w:val="00714C40"/>
    <w:rsid w:val="00716D87"/>
    <w:rsid w:val="007178B9"/>
    <w:rsid w:val="00721311"/>
    <w:rsid w:val="007213EB"/>
    <w:rsid w:val="00721532"/>
    <w:rsid w:val="00721C3F"/>
    <w:rsid w:val="00722C1E"/>
    <w:rsid w:val="00723E7A"/>
    <w:rsid w:val="00724289"/>
    <w:rsid w:val="007246B3"/>
    <w:rsid w:val="00724B14"/>
    <w:rsid w:val="00724C30"/>
    <w:rsid w:val="007254C1"/>
    <w:rsid w:val="00725751"/>
    <w:rsid w:val="007265A8"/>
    <w:rsid w:val="0072698B"/>
    <w:rsid w:val="007273C7"/>
    <w:rsid w:val="00727A1E"/>
    <w:rsid w:val="00733375"/>
    <w:rsid w:val="00734E6C"/>
    <w:rsid w:val="007354E3"/>
    <w:rsid w:val="00737DD8"/>
    <w:rsid w:val="00740898"/>
    <w:rsid w:val="00741E9D"/>
    <w:rsid w:val="007432E8"/>
    <w:rsid w:val="00743938"/>
    <w:rsid w:val="00743B1E"/>
    <w:rsid w:val="0074459A"/>
    <w:rsid w:val="00745627"/>
    <w:rsid w:val="00747E3E"/>
    <w:rsid w:val="00750DA0"/>
    <w:rsid w:val="00751126"/>
    <w:rsid w:val="00752412"/>
    <w:rsid w:val="00753DDA"/>
    <w:rsid w:val="00754AE1"/>
    <w:rsid w:val="00755ADA"/>
    <w:rsid w:val="00756567"/>
    <w:rsid w:val="0075756E"/>
    <w:rsid w:val="00761DE2"/>
    <w:rsid w:val="007621D2"/>
    <w:rsid w:val="00762CAC"/>
    <w:rsid w:val="007636FE"/>
    <w:rsid w:val="00764D82"/>
    <w:rsid w:val="00766B19"/>
    <w:rsid w:val="007707CB"/>
    <w:rsid w:val="00770DAE"/>
    <w:rsid w:val="00771759"/>
    <w:rsid w:val="0077268F"/>
    <w:rsid w:val="007732E6"/>
    <w:rsid w:val="007733D7"/>
    <w:rsid w:val="0077353A"/>
    <w:rsid w:val="00773E09"/>
    <w:rsid w:val="00775110"/>
    <w:rsid w:val="00775E59"/>
    <w:rsid w:val="00776DB5"/>
    <w:rsid w:val="00777C8A"/>
    <w:rsid w:val="00780676"/>
    <w:rsid w:val="00780836"/>
    <w:rsid w:val="00784D37"/>
    <w:rsid w:val="00785B96"/>
    <w:rsid w:val="007862DB"/>
    <w:rsid w:val="00786901"/>
    <w:rsid w:val="0078698C"/>
    <w:rsid w:val="00787908"/>
    <w:rsid w:val="007900CE"/>
    <w:rsid w:val="00790209"/>
    <w:rsid w:val="00790D47"/>
    <w:rsid w:val="00792371"/>
    <w:rsid w:val="00792A59"/>
    <w:rsid w:val="00792E3E"/>
    <w:rsid w:val="00793B9F"/>
    <w:rsid w:val="00794209"/>
    <w:rsid w:val="00794B00"/>
    <w:rsid w:val="00794F62"/>
    <w:rsid w:val="007967FB"/>
    <w:rsid w:val="00796945"/>
    <w:rsid w:val="007973EC"/>
    <w:rsid w:val="007979B0"/>
    <w:rsid w:val="00797E4E"/>
    <w:rsid w:val="007A386F"/>
    <w:rsid w:val="007A6936"/>
    <w:rsid w:val="007A6FF7"/>
    <w:rsid w:val="007B20DF"/>
    <w:rsid w:val="007B359C"/>
    <w:rsid w:val="007B41D3"/>
    <w:rsid w:val="007B4E66"/>
    <w:rsid w:val="007B5248"/>
    <w:rsid w:val="007B5599"/>
    <w:rsid w:val="007C0B93"/>
    <w:rsid w:val="007C19BE"/>
    <w:rsid w:val="007C2279"/>
    <w:rsid w:val="007C2652"/>
    <w:rsid w:val="007C5579"/>
    <w:rsid w:val="007C6943"/>
    <w:rsid w:val="007D0686"/>
    <w:rsid w:val="007D06F3"/>
    <w:rsid w:val="007D2158"/>
    <w:rsid w:val="007D21AE"/>
    <w:rsid w:val="007D2736"/>
    <w:rsid w:val="007D3398"/>
    <w:rsid w:val="007D3B70"/>
    <w:rsid w:val="007D48FE"/>
    <w:rsid w:val="007D4ECF"/>
    <w:rsid w:val="007D548B"/>
    <w:rsid w:val="007D5675"/>
    <w:rsid w:val="007E163E"/>
    <w:rsid w:val="007E44F0"/>
    <w:rsid w:val="007E5B06"/>
    <w:rsid w:val="007E6F78"/>
    <w:rsid w:val="007E7043"/>
    <w:rsid w:val="007E73D8"/>
    <w:rsid w:val="007E7C9B"/>
    <w:rsid w:val="007F05A2"/>
    <w:rsid w:val="007F0DF0"/>
    <w:rsid w:val="007F10CF"/>
    <w:rsid w:val="007F186E"/>
    <w:rsid w:val="007F28C7"/>
    <w:rsid w:val="007F3432"/>
    <w:rsid w:val="007F6321"/>
    <w:rsid w:val="007F6BF2"/>
    <w:rsid w:val="007F7C2A"/>
    <w:rsid w:val="00802152"/>
    <w:rsid w:val="008026D3"/>
    <w:rsid w:val="008036B4"/>
    <w:rsid w:val="00804435"/>
    <w:rsid w:val="00805111"/>
    <w:rsid w:val="0080567C"/>
    <w:rsid w:val="00807138"/>
    <w:rsid w:val="00807F40"/>
    <w:rsid w:val="008107BF"/>
    <w:rsid w:val="00811B8A"/>
    <w:rsid w:val="00814BB3"/>
    <w:rsid w:val="008153A9"/>
    <w:rsid w:val="00815590"/>
    <w:rsid w:val="00815B5E"/>
    <w:rsid w:val="00815B9F"/>
    <w:rsid w:val="00816BB4"/>
    <w:rsid w:val="00817380"/>
    <w:rsid w:val="00817501"/>
    <w:rsid w:val="008175DB"/>
    <w:rsid w:val="008218D2"/>
    <w:rsid w:val="00821CA6"/>
    <w:rsid w:val="00821E93"/>
    <w:rsid w:val="00821EDD"/>
    <w:rsid w:val="00822696"/>
    <w:rsid w:val="00824176"/>
    <w:rsid w:val="00824CB5"/>
    <w:rsid w:val="00824D5F"/>
    <w:rsid w:val="00825E90"/>
    <w:rsid w:val="00826137"/>
    <w:rsid w:val="0082614D"/>
    <w:rsid w:val="008265AB"/>
    <w:rsid w:val="0082772F"/>
    <w:rsid w:val="00830A50"/>
    <w:rsid w:val="00830E97"/>
    <w:rsid w:val="008332CA"/>
    <w:rsid w:val="008361A5"/>
    <w:rsid w:val="00836EB5"/>
    <w:rsid w:val="00837562"/>
    <w:rsid w:val="00842A81"/>
    <w:rsid w:val="008454D0"/>
    <w:rsid w:val="00845CB0"/>
    <w:rsid w:val="008472D2"/>
    <w:rsid w:val="0084733B"/>
    <w:rsid w:val="00847597"/>
    <w:rsid w:val="00850F88"/>
    <w:rsid w:val="00851006"/>
    <w:rsid w:val="00851586"/>
    <w:rsid w:val="00852386"/>
    <w:rsid w:val="00852F3E"/>
    <w:rsid w:val="008557AA"/>
    <w:rsid w:val="00856FDE"/>
    <w:rsid w:val="00860940"/>
    <w:rsid w:val="00867E10"/>
    <w:rsid w:val="00870E99"/>
    <w:rsid w:val="00872062"/>
    <w:rsid w:val="0087253A"/>
    <w:rsid w:val="008732C8"/>
    <w:rsid w:val="00873B60"/>
    <w:rsid w:val="00875718"/>
    <w:rsid w:val="0087604E"/>
    <w:rsid w:val="0087700A"/>
    <w:rsid w:val="00882833"/>
    <w:rsid w:val="00883735"/>
    <w:rsid w:val="00883E50"/>
    <w:rsid w:val="00883E69"/>
    <w:rsid w:val="00884EBB"/>
    <w:rsid w:val="00886471"/>
    <w:rsid w:val="0088688F"/>
    <w:rsid w:val="00886933"/>
    <w:rsid w:val="00886A3F"/>
    <w:rsid w:val="008876CE"/>
    <w:rsid w:val="0088789E"/>
    <w:rsid w:val="0089007F"/>
    <w:rsid w:val="00891551"/>
    <w:rsid w:val="00891AD8"/>
    <w:rsid w:val="008928D4"/>
    <w:rsid w:val="00893AB8"/>
    <w:rsid w:val="00894D78"/>
    <w:rsid w:val="008962E7"/>
    <w:rsid w:val="00897A40"/>
    <w:rsid w:val="008A0A51"/>
    <w:rsid w:val="008A1735"/>
    <w:rsid w:val="008A2148"/>
    <w:rsid w:val="008A370C"/>
    <w:rsid w:val="008A3A58"/>
    <w:rsid w:val="008A3AAC"/>
    <w:rsid w:val="008A3CFA"/>
    <w:rsid w:val="008A5ED7"/>
    <w:rsid w:val="008A778B"/>
    <w:rsid w:val="008B0084"/>
    <w:rsid w:val="008B05FE"/>
    <w:rsid w:val="008B062E"/>
    <w:rsid w:val="008B0B66"/>
    <w:rsid w:val="008B1066"/>
    <w:rsid w:val="008B12BA"/>
    <w:rsid w:val="008B1587"/>
    <w:rsid w:val="008B16CD"/>
    <w:rsid w:val="008B217B"/>
    <w:rsid w:val="008B31C1"/>
    <w:rsid w:val="008B3961"/>
    <w:rsid w:val="008B4311"/>
    <w:rsid w:val="008B5688"/>
    <w:rsid w:val="008B5EB4"/>
    <w:rsid w:val="008B7CD1"/>
    <w:rsid w:val="008C2E3F"/>
    <w:rsid w:val="008C3B32"/>
    <w:rsid w:val="008C48F7"/>
    <w:rsid w:val="008C49D9"/>
    <w:rsid w:val="008C5796"/>
    <w:rsid w:val="008C5B96"/>
    <w:rsid w:val="008C6B0B"/>
    <w:rsid w:val="008C79CF"/>
    <w:rsid w:val="008C7C66"/>
    <w:rsid w:val="008D04D1"/>
    <w:rsid w:val="008D1922"/>
    <w:rsid w:val="008D1BB4"/>
    <w:rsid w:val="008D41A4"/>
    <w:rsid w:val="008D4518"/>
    <w:rsid w:val="008D4E57"/>
    <w:rsid w:val="008D51FE"/>
    <w:rsid w:val="008D64BA"/>
    <w:rsid w:val="008D6DBB"/>
    <w:rsid w:val="008D6F39"/>
    <w:rsid w:val="008D7214"/>
    <w:rsid w:val="008D7525"/>
    <w:rsid w:val="008D7B61"/>
    <w:rsid w:val="008D7D73"/>
    <w:rsid w:val="008E0891"/>
    <w:rsid w:val="008E2117"/>
    <w:rsid w:val="008E2A70"/>
    <w:rsid w:val="008E305B"/>
    <w:rsid w:val="008E345D"/>
    <w:rsid w:val="008E40B5"/>
    <w:rsid w:val="008E4304"/>
    <w:rsid w:val="008E5284"/>
    <w:rsid w:val="008E57DE"/>
    <w:rsid w:val="008E72BC"/>
    <w:rsid w:val="008E7682"/>
    <w:rsid w:val="008F1789"/>
    <w:rsid w:val="008F17ED"/>
    <w:rsid w:val="008F1CFD"/>
    <w:rsid w:val="008F1EBD"/>
    <w:rsid w:val="008F2797"/>
    <w:rsid w:val="008F308E"/>
    <w:rsid w:val="008F3102"/>
    <w:rsid w:val="008F3FD2"/>
    <w:rsid w:val="008F52F9"/>
    <w:rsid w:val="008F56E2"/>
    <w:rsid w:val="008F5D61"/>
    <w:rsid w:val="008F5E31"/>
    <w:rsid w:val="008F789D"/>
    <w:rsid w:val="008F7D33"/>
    <w:rsid w:val="009024BA"/>
    <w:rsid w:val="009046DA"/>
    <w:rsid w:val="00904E5B"/>
    <w:rsid w:val="00906A93"/>
    <w:rsid w:val="00907104"/>
    <w:rsid w:val="00907593"/>
    <w:rsid w:val="00910BA3"/>
    <w:rsid w:val="0091324A"/>
    <w:rsid w:val="00913F48"/>
    <w:rsid w:val="009142AA"/>
    <w:rsid w:val="0092021F"/>
    <w:rsid w:val="00920530"/>
    <w:rsid w:val="00922D63"/>
    <w:rsid w:val="00923205"/>
    <w:rsid w:val="00925815"/>
    <w:rsid w:val="00925F63"/>
    <w:rsid w:val="00926977"/>
    <w:rsid w:val="009276DC"/>
    <w:rsid w:val="00927B61"/>
    <w:rsid w:val="0093128A"/>
    <w:rsid w:val="009313DA"/>
    <w:rsid w:val="00934315"/>
    <w:rsid w:val="00934C4E"/>
    <w:rsid w:val="00934F30"/>
    <w:rsid w:val="009364DF"/>
    <w:rsid w:val="009378C0"/>
    <w:rsid w:val="0094028E"/>
    <w:rsid w:val="009409A9"/>
    <w:rsid w:val="00940F4F"/>
    <w:rsid w:val="0094164E"/>
    <w:rsid w:val="0094247D"/>
    <w:rsid w:val="00942933"/>
    <w:rsid w:val="009431BB"/>
    <w:rsid w:val="0094346D"/>
    <w:rsid w:val="00944DDB"/>
    <w:rsid w:val="00945209"/>
    <w:rsid w:val="00945C13"/>
    <w:rsid w:val="00946CB6"/>
    <w:rsid w:val="0095044D"/>
    <w:rsid w:val="00950560"/>
    <w:rsid w:val="00950CC8"/>
    <w:rsid w:val="00950DEB"/>
    <w:rsid w:val="0095154A"/>
    <w:rsid w:val="009529BC"/>
    <w:rsid w:val="00953B55"/>
    <w:rsid w:val="00954705"/>
    <w:rsid w:val="00955FCD"/>
    <w:rsid w:val="00956C37"/>
    <w:rsid w:val="0095703A"/>
    <w:rsid w:val="00960D2C"/>
    <w:rsid w:val="00961762"/>
    <w:rsid w:val="0096185D"/>
    <w:rsid w:val="0096267A"/>
    <w:rsid w:val="00962A0C"/>
    <w:rsid w:val="00965521"/>
    <w:rsid w:val="00965725"/>
    <w:rsid w:val="009658D3"/>
    <w:rsid w:val="00965CFF"/>
    <w:rsid w:val="00966A7E"/>
    <w:rsid w:val="00966D34"/>
    <w:rsid w:val="00970A2B"/>
    <w:rsid w:val="009712A3"/>
    <w:rsid w:val="009718BB"/>
    <w:rsid w:val="00971EB0"/>
    <w:rsid w:val="00972DDF"/>
    <w:rsid w:val="00972F17"/>
    <w:rsid w:val="0097317E"/>
    <w:rsid w:val="00973216"/>
    <w:rsid w:val="00973346"/>
    <w:rsid w:val="00980A76"/>
    <w:rsid w:val="00983C5A"/>
    <w:rsid w:val="00986DDD"/>
    <w:rsid w:val="0098700F"/>
    <w:rsid w:val="00987726"/>
    <w:rsid w:val="009879B3"/>
    <w:rsid w:val="009907A4"/>
    <w:rsid w:val="00991318"/>
    <w:rsid w:val="009949CD"/>
    <w:rsid w:val="00994DA3"/>
    <w:rsid w:val="0099582C"/>
    <w:rsid w:val="0099615B"/>
    <w:rsid w:val="009A029E"/>
    <w:rsid w:val="009A0F36"/>
    <w:rsid w:val="009A0F58"/>
    <w:rsid w:val="009A2286"/>
    <w:rsid w:val="009A2431"/>
    <w:rsid w:val="009A3879"/>
    <w:rsid w:val="009A5B72"/>
    <w:rsid w:val="009A5D74"/>
    <w:rsid w:val="009A60B0"/>
    <w:rsid w:val="009A6243"/>
    <w:rsid w:val="009A63E4"/>
    <w:rsid w:val="009A743D"/>
    <w:rsid w:val="009A7526"/>
    <w:rsid w:val="009A7DD2"/>
    <w:rsid w:val="009B0A28"/>
    <w:rsid w:val="009B1ACD"/>
    <w:rsid w:val="009B34AC"/>
    <w:rsid w:val="009B37E5"/>
    <w:rsid w:val="009B4A21"/>
    <w:rsid w:val="009B598C"/>
    <w:rsid w:val="009B5E02"/>
    <w:rsid w:val="009B6109"/>
    <w:rsid w:val="009B622B"/>
    <w:rsid w:val="009B690A"/>
    <w:rsid w:val="009B6FF7"/>
    <w:rsid w:val="009B7CBA"/>
    <w:rsid w:val="009B7E70"/>
    <w:rsid w:val="009C0257"/>
    <w:rsid w:val="009C030E"/>
    <w:rsid w:val="009C09D6"/>
    <w:rsid w:val="009C101C"/>
    <w:rsid w:val="009C307B"/>
    <w:rsid w:val="009C3AD7"/>
    <w:rsid w:val="009C5627"/>
    <w:rsid w:val="009C56A4"/>
    <w:rsid w:val="009C5FA7"/>
    <w:rsid w:val="009C61AA"/>
    <w:rsid w:val="009C6649"/>
    <w:rsid w:val="009C7070"/>
    <w:rsid w:val="009C760C"/>
    <w:rsid w:val="009D05B8"/>
    <w:rsid w:val="009D0D49"/>
    <w:rsid w:val="009D18CD"/>
    <w:rsid w:val="009D1DED"/>
    <w:rsid w:val="009D3D09"/>
    <w:rsid w:val="009D4054"/>
    <w:rsid w:val="009D47F2"/>
    <w:rsid w:val="009D623C"/>
    <w:rsid w:val="009E17FE"/>
    <w:rsid w:val="009E5E73"/>
    <w:rsid w:val="009E65C4"/>
    <w:rsid w:val="009F106D"/>
    <w:rsid w:val="009F2359"/>
    <w:rsid w:val="009F3555"/>
    <w:rsid w:val="009F5207"/>
    <w:rsid w:val="00A01C43"/>
    <w:rsid w:val="00A028BE"/>
    <w:rsid w:val="00A02F73"/>
    <w:rsid w:val="00A06DA3"/>
    <w:rsid w:val="00A071EB"/>
    <w:rsid w:val="00A07F57"/>
    <w:rsid w:val="00A07F7A"/>
    <w:rsid w:val="00A10219"/>
    <w:rsid w:val="00A10B20"/>
    <w:rsid w:val="00A10F88"/>
    <w:rsid w:val="00A111DA"/>
    <w:rsid w:val="00A112F0"/>
    <w:rsid w:val="00A118C2"/>
    <w:rsid w:val="00A11C0E"/>
    <w:rsid w:val="00A1275B"/>
    <w:rsid w:val="00A130DE"/>
    <w:rsid w:val="00A14358"/>
    <w:rsid w:val="00A160FA"/>
    <w:rsid w:val="00A2087A"/>
    <w:rsid w:val="00A20AE2"/>
    <w:rsid w:val="00A21146"/>
    <w:rsid w:val="00A21E73"/>
    <w:rsid w:val="00A237F8"/>
    <w:rsid w:val="00A239B2"/>
    <w:rsid w:val="00A240A8"/>
    <w:rsid w:val="00A24E2D"/>
    <w:rsid w:val="00A250B7"/>
    <w:rsid w:val="00A256D0"/>
    <w:rsid w:val="00A25AAE"/>
    <w:rsid w:val="00A26079"/>
    <w:rsid w:val="00A26DE8"/>
    <w:rsid w:val="00A3365C"/>
    <w:rsid w:val="00A33FE6"/>
    <w:rsid w:val="00A34639"/>
    <w:rsid w:val="00A34BD0"/>
    <w:rsid w:val="00A35E3A"/>
    <w:rsid w:val="00A35F88"/>
    <w:rsid w:val="00A36596"/>
    <w:rsid w:val="00A3670C"/>
    <w:rsid w:val="00A370DC"/>
    <w:rsid w:val="00A3799B"/>
    <w:rsid w:val="00A42D14"/>
    <w:rsid w:val="00A42E11"/>
    <w:rsid w:val="00A438BD"/>
    <w:rsid w:val="00A43F6B"/>
    <w:rsid w:val="00A44848"/>
    <w:rsid w:val="00A44926"/>
    <w:rsid w:val="00A451B1"/>
    <w:rsid w:val="00A45CFB"/>
    <w:rsid w:val="00A47210"/>
    <w:rsid w:val="00A47837"/>
    <w:rsid w:val="00A47A3D"/>
    <w:rsid w:val="00A47E56"/>
    <w:rsid w:val="00A513F2"/>
    <w:rsid w:val="00A51BC6"/>
    <w:rsid w:val="00A51EF8"/>
    <w:rsid w:val="00A52300"/>
    <w:rsid w:val="00A5299B"/>
    <w:rsid w:val="00A52A27"/>
    <w:rsid w:val="00A53CF4"/>
    <w:rsid w:val="00A54A50"/>
    <w:rsid w:val="00A55883"/>
    <w:rsid w:val="00A5699D"/>
    <w:rsid w:val="00A60D7E"/>
    <w:rsid w:val="00A61F9D"/>
    <w:rsid w:val="00A62DAC"/>
    <w:rsid w:val="00A63D72"/>
    <w:rsid w:val="00A6493D"/>
    <w:rsid w:val="00A66216"/>
    <w:rsid w:val="00A718BB"/>
    <w:rsid w:val="00A72070"/>
    <w:rsid w:val="00A730F0"/>
    <w:rsid w:val="00A7328B"/>
    <w:rsid w:val="00A738E5"/>
    <w:rsid w:val="00A74325"/>
    <w:rsid w:val="00A751F1"/>
    <w:rsid w:val="00A75D71"/>
    <w:rsid w:val="00A7645E"/>
    <w:rsid w:val="00A77518"/>
    <w:rsid w:val="00A80A76"/>
    <w:rsid w:val="00A80A77"/>
    <w:rsid w:val="00A80DFB"/>
    <w:rsid w:val="00A81956"/>
    <w:rsid w:val="00A8239B"/>
    <w:rsid w:val="00A827DF"/>
    <w:rsid w:val="00A84241"/>
    <w:rsid w:val="00A84E4C"/>
    <w:rsid w:val="00A85004"/>
    <w:rsid w:val="00A85ABE"/>
    <w:rsid w:val="00A85BBB"/>
    <w:rsid w:val="00A85C3F"/>
    <w:rsid w:val="00A8615F"/>
    <w:rsid w:val="00A865D2"/>
    <w:rsid w:val="00A86BC3"/>
    <w:rsid w:val="00A93C54"/>
    <w:rsid w:val="00A93CF8"/>
    <w:rsid w:val="00A95B1C"/>
    <w:rsid w:val="00A95BA0"/>
    <w:rsid w:val="00A95D54"/>
    <w:rsid w:val="00A97CC6"/>
    <w:rsid w:val="00AA396B"/>
    <w:rsid w:val="00AA53AA"/>
    <w:rsid w:val="00AA61B6"/>
    <w:rsid w:val="00AA6709"/>
    <w:rsid w:val="00AB03F3"/>
    <w:rsid w:val="00AB1641"/>
    <w:rsid w:val="00AB199E"/>
    <w:rsid w:val="00AB1BE8"/>
    <w:rsid w:val="00AB1BEA"/>
    <w:rsid w:val="00AB1E3F"/>
    <w:rsid w:val="00AB294B"/>
    <w:rsid w:val="00AB35E6"/>
    <w:rsid w:val="00AB6524"/>
    <w:rsid w:val="00AB6E41"/>
    <w:rsid w:val="00AB7E64"/>
    <w:rsid w:val="00AC06D1"/>
    <w:rsid w:val="00AC0BE7"/>
    <w:rsid w:val="00AC1286"/>
    <w:rsid w:val="00AC18D9"/>
    <w:rsid w:val="00AC2154"/>
    <w:rsid w:val="00AC52BA"/>
    <w:rsid w:val="00AC5586"/>
    <w:rsid w:val="00AC5600"/>
    <w:rsid w:val="00AC5BCC"/>
    <w:rsid w:val="00AC65DE"/>
    <w:rsid w:val="00AC6D0C"/>
    <w:rsid w:val="00AC6F8F"/>
    <w:rsid w:val="00AD1624"/>
    <w:rsid w:val="00AD2596"/>
    <w:rsid w:val="00AD48FD"/>
    <w:rsid w:val="00AD5FCE"/>
    <w:rsid w:val="00AE0277"/>
    <w:rsid w:val="00AE2CDC"/>
    <w:rsid w:val="00AE35F0"/>
    <w:rsid w:val="00AE49A7"/>
    <w:rsid w:val="00AE74E7"/>
    <w:rsid w:val="00AE7520"/>
    <w:rsid w:val="00AF0B9C"/>
    <w:rsid w:val="00AF1456"/>
    <w:rsid w:val="00AF157A"/>
    <w:rsid w:val="00AF160E"/>
    <w:rsid w:val="00AF1FCA"/>
    <w:rsid w:val="00AF22AB"/>
    <w:rsid w:val="00AF3850"/>
    <w:rsid w:val="00AF390F"/>
    <w:rsid w:val="00AF53F2"/>
    <w:rsid w:val="00AF5ABA"/>
    <w:rsid w:val="00AF5E03"/>
    <w:rsid w:val="00AF6023"/>
    <w:rsid w:val="00AF6CBB"/>
    <w:rsid w:val="00B022D8"/>
    <w:rsid w:val="00B03646"/>
    <w:rsid w:val="00B043C8"/>
    <w:rsid w:val="00B071DB"/>
    <w:rsid w:val="00B122A7"/>
    <w:rsid w:val="00B125B2"/>
    <w:rsid w:val="00B126D0"/>
    <w:rsid w:val="00B13420"/>
    <w:rsid w:val="00B1479F"/>
    <w:rsid w:val="00B15001"/>
    <w:rsid w:val="00B16105"/>
    <w:rsid w:val="00B16829"/>
    <w:rsid w:val="00B21B0A"/>
    <w:rsid w:val="00B22306"/>
    <w:rsid w:val="00B244FC"/>
    <w:rsid w:val="00B24B91"/>
    <w:rsid w:val="00B24F10"/>
    <w:rsid w:val="00B2504F"/>
    <w:rsid w:val="00B25B01"/>
    <w:rsid w:val="00B26D9D"/>
    <w:rsid w:val="00B30B6D"/>
    <w:rsid w:val="00B30D8C"/>
    <w:rsid w:val="00B311F3"/>
    <w:rsid w:val="00B3132E"/>
    <w:rsid w:val="00B3171D"/>
    <w:rsid w:val="00B31D64"/>
    <w:rsid w:val="00B34836"/>
    <w:rsid w:val="00B34964"/>
    <w:rsid w:val="00B34C1F"/>
    <w:rsid w:val="00B35DCB"/>
    <w:rsid w:val="00B4086D"/>
    <w:rsid w:val="00B41221"/>
    <w:rsid w:val="00B41276"/>
    <w:rsid w:val="00B417CB"/>
    <w:rsid w:val="00B42572"/>
    <w:rsid w:val="00B4459F"/>
    <w:rsid w:val="00B4573C"/>
    <w:rsid w:val="00B45906"/>
    <w:rsid w:val="00B45EEF"/>
    <w:rsid w:val="00B46A4E"/>
    <w:rsid w:val="00B46ED3"/>
    <w:rsid w:val="00B503C3"/>
    <w:rsid w:val="00B50D48"/>
    <w:rsid w:val="00B5182D"/>
    <w:rsid w:val="00B5276A"/>
    <w:rsid w:val="00B52C5E"/>
    <w:rsid w:val="00B532CE"/>
    <w:rsid w:val="00B54B43"/>
    <w:rsid w:val="00B55042"/>
    <w:rsid w:val="00B6023D"/>
    <w:rsid w:val="00B6024C"/>
    <w:rsid w:val="00B60A19"/>
    <w:rsid w:val="00B61477"/>
    <w:rsid w:val="00B62040"/>
    <w:rsid w:val="00B626E3"/>
    <w:rsid w:val="00B62841"/>
    <w:rsid w:val="00B64600"/>
    <w:rsid w:val="00B64B12"/>
    <w:rsid w:val="00B66314"/>
    <w:rsid w:val="00B703DC"/>
    <w:rsid w:val="00B7062A"/>
    <w:rsid w:val="00B707D3"/>
    <w:rsid w:val="00B7173E"/>
    <w:rsid w:val="00B71ECC"/>
    <w:rsid w:val="00B721F2"/>
    <w:rsid w:val="00B73424"/>
    <w:rsid w:val="00B7342A"/>
    <w:rsid w:val="00B74416"/>
    <w:rsid w:val="00B74A11"/>
    <w:rsid w:val="00B753FE"/>
    <w:rsid w:val="00B76E81"/>
    <w:rsid w:val="00B8004D"/>
    <w:rsid w:val="00B80CD4"/>
    <w:rsid w:val="00B828DC"/>
    <w:rsid w:val="00B82D99"/>
    <w:rsid w:val="00B83011"/>
    <w:rsid w:val="00B83041"/>
    <w:rsid w:val="00B83C02"/>
    <w:rsid w:val="00B83FDF"/>
    <w:rsid w:val="00B85092"/>
    <w:rsid w:val="00B851FD"/>
    <w:rsid w:val="00B859FE"/>
    <w:rsid w:val="00B90761"/>
    <w:rsid w:val="00B90FD3"/>
    <w:rsid w:val="00B92C5D"/>
    <w:rsid w:val="00B92FFA"/>
    <w:rsid w:val="00B933D9"/>
    <w:rsid w:val="00B94100"/>
    <w:rsid w:val="00B95384"/>
    <w:rsid w:val="00B9539D"/>
    <w:rsid w:val="00BA16D1"/>
    <w:rsid w:val="00BA16E0"/>
    <w:rsid w:val="00BA1F1D"/>
    <w:rsid w:val="00BA21F5"/>
    <w:rsid w:val="00BA23A0"/>
    <w:rsid w:val="00BA24AF"/>
    <w:rsid w:val="00BA37DC"/>
    <w:rsid w:val="00BA40EE"/>
    <w:rsid w:val="00BA46A2"/>
    <w:rsid w:val="00BA4C2C"/>
    <w:rsid w:val="00BA6187"/>
    <w:rsid w:val="00BA720D"/>
    <w:rsid w:val="00BA7789"/>
    <w:rsid w:val="00BB4978"/>
    <w:rsid w:val="00BB5C35"/>
    <w:rsid w:val="00BB5C95"/>
    <w:rsid w:val="00BB77CB"/>
    <w:rsid w:val="00BC0C84"/>
    <w:rsid w:val="00BC0DD1"/>
    <w:rsid w:val="00BC0E4C"/>
    <w:rsid w:val="00BC17B9"/>
    <w:rsid w:val="00BC2527"/>
    <w:rsid w:val="00BC2FD4"/>
    <w:rsid w:val="00BC5CD6"/>
    <w:rsid w:val="00BC70C8"/>
    <w:rsid w:val="00BC799C"/>
    <w:rsid w:val="00BC7B3A"/>
    <w:rsid w:val="00BD0640"/>
    <w:rsid w:val="00BD4B8C"/>
    <w:rsid w:val="00BD5270"/>
    <w:rsid w:val="00BD5A82"/>
    <w:rsid w:val="00BD67FE"/>
    <w:rsid w:val="00BD7549"/>
    <w:rsid w:val="00BD799F"/>
    <w:rsid w:val="00BD7EDC"/>
    <w:rsid w:val="00BE0E96"/>
    <w:rsid w:val="00BE1816"/>
    <w:rsid w:val="00BE1D3B"/>
    <w:rsid w:val="00BE21F5"/>
    <w:rsid w:val="00BE2777"/>
    <w:rsid w:val="00BE42E8"/>
    <w:rsid w:val="00BE44B7"/>
    <w:rsid w:val="00BE507A"/>
    <w:rsid w:val="00BE511B"/>
    <w:rsid w:val="00BE6B5A"/>
    <w:rsid w:val="00BE6BC4"/>
    <w:rsid w:val="00BE7219"/>
    <w:rsid w:val="00BE761C"/>
    <w:rsid w:val="00BE7F1F"/>
    <w:rsid w:val="00BF229E"/>
    <w:rsid w:val="00BF23A5"/>
    <w:rsid w:val="00BF418E"/>
    <w:rsid w:val="00BF5D47"/>
    <w:rsid w:val="00BF687E"/>
    <w:rsid w:val="00BF724A"/>
    <w:rsid w:val="00C0053A"/>
    <w:rsid w:val="00C007F3"/>
    <w:rsid w:val="00C00FD0"/>
    <w:rsid w:val="00C01291"/>
    <w:rsid w:val="00C026EB"/>
    <w:rsid w:val="00C03012"/>
    <w:rsid w:val="00C03132"/>
    <w:rsid w:val="00C04227"/>
    <w:rsid w:val="00C04B0D"/>
    <w:rsid w:val="00C05DD5"/>
    <w:rsid w:val="00C06229"/>
    <w:rsid w:val="00C10146"/>
    <w:rsid w:val="00C107B7"/>
    <w:rsid w:val="00C10EC9"/>
    <w:rsid w:val="00C11B2E"/>
    <w:rsid w:val="00C11C6D"/>
    <w:rsid w:val="00C126D1"/>
    <w:rsid w:val="00C138A3"/>
    <w:rsid w:val="00C140CE"/>
    <w:rsid w:val="00C1415F"/>
    <w:rsid w:val="00C15468"/>
    <w:rsid w:val="00C21332"/>
    <w:rsid w:val="00C2233F"/>
    <w:rsid w:val="00C22711"/>
    <w:rsid w:val="00C23456"/>
    <w:rsid w:val="00C234E4"/>
    <w:rsid w:val="00C24482"/>
    <w:rsid w:val="00C305AC"/>
    <w:rsid w:val="00C30B1C"/>
    <w:rsid w:val="00C30BE3"/>
    <w:rsid w:val="00C32B35"/>
    <w:rsid w:val="00C346FB"/>
    <w:rsid w:val="00C34B9E"/>
    <w:rsid w:val="00C35D42"/>
    <w:rsid w:val="00C40540"/>
    <w:rsid w:val="00C40DFB"/>
    <w:rsid w:val="00C44058"/>
    <w:rsid w:val="00C44173"/>
    <w:rsid w:val="00C4431B"/>
    <w:rsid w:val="00C447B6"/>
    <w:rsid w:val="00C500D4"/>
    <w:rsid w:val="00C50DD6"/>
    <w:rsid w:val="00C511F6"/>
    <w:rsid w:val="00C52BDF"/>
    <w:rsid w:val="00C54CA5"/>
    <w:rsid w:val="00C55194"/>
    <w:rsid w:val="00C562BE"/>
    <w:rsid w:val="00C627E2"/>
    <w:rsid w:val="00C64655"/>
    <w:rsid w:val="00C649D8"/>
    <w:rsid w:val="00C6571D"/>
    <w:rsid w:val="00C66469"/>
    <w:rsid w:val="00C66CE8"/>
    <w:rsid w:val="00C67575"/>
    <w:rsid w:val="00C74B82"/>
    <w:rsid w:val="00C74F16"/>
    <w:rsid w:val="00C7537E"/>
    <w:rsid w:val="00C759DC"/>
    <w:rsid w:val="00C769FE"/>
    <w:rsid w:val="00C80CB6"/>
    <w:rsid w:val="00C8396C"/>
    <w:rsid w:val="00C847C7"/>
    <w:rsid w:val="00C858CA"/>
    <w:rsid w:val="00C877F7"/>
    <w:rsid w:val="00C91219"/>
    <w:rsid w:val="00C916D7"/>
    <w:rsid w:val="00C920F1"/>
    <w:rsid w:val="00C924CF"/>
    <w:rsid w:val="00C92A93"/>
    <w:rsid w:val="00C93A60"/>
    <w:rsid w:val="00C93CAC"/>
    <w:rsid w:val="00C9429E"/>
    <w:rsid w:val="00C94854"/>
    <w:rsid w:val="00C9584F"/>
    <w:rsid w:val="00C95E06"/>
    <w:rsid w:val="00C96F8C"/>
    <w:rsid w:val="00C9724F"/>
    <w:rsid w:val="00CA0677"/>
    <w:rsid w:val="00CB086A"/>
    <w:rsid w:val="00CB31E1"/>
    <w:rsid w:val="00CB36AF"/>
    <w:rsid w:val="00CB4905"/>
    <w:rsid w:val="00CB53C3"/>
    <w:rsid w:val="00CB5AB0"/>
    <w:rsid w:val="00CB66CB"/>
    <w:rsid w:val="00CB7EAA"/>
    <w:rsid w:val="00CC02CC"/>
    <w:rsid w:val="00CC0A37"/>
    <w:rsid w:val="00CC12E9"/>
    <w:rsid w:val="00CC3773"/>
    <w:rsid w:val="00CC3F92"/>
    <w:rsid w:val="00CC4921"/>
    <w:rsid w:val="00CC4C16"/>
    <w:rsid w:val="00CC4F5B"/>
    <w:rsid w:val="00CC64B9"/>
    <w:rsid w:val="00CC741B"/>
    <w:rsid w:val="00CC7813"/>
    <w:rsid w:val="00CC7967"/>
    <w:rsid w:val="00CD0D79"/>
    <w:rsid w:val="00CD140C"/>
    <w:rsid w:val="00CD1D56"/>
    <w:rsid w:val="00CD2A12"/>
    <w:rsid w:val="00CD37CA"/>
    <w:rsid w:val="00CD448B"/>
    <w:rsid w:val="00CD54D1"/>
    <w:rsid w:val="00CD55F5"/>
    <w:rsid w:val="00CD6C03"/>
    <w:rsid w:val="00CD6CDA"/>
    <w:rsid w:val="00CE0B30"/>
    <w:rsid w:val="00CE17FD"/>
    <w:rsid w:val="00CE1FC5"/>
    <w:rsid w:val="00CE412D"/>
    <w:rsid w:val="00CE541E"/>
    <w:rsid w:val="00CE59E6"/>
    <w:rsid w:val="00CF1066"/>
    <w:rsid w:val="00CF1B1A"/>
    <w:rsid w:val="00CF2505"/>
    <w:rsid w:val="00CF3A57"/>
    <w:rsid w:val="00CF55CC"/>
    <w:rsid w:val="00CF657B"/>
    <w:rsid w:val="00CF6B66"/>
    <w:rsid w:val="00CF7FEC"/>
    <w:rsid w:val="00D00BE3"/>
    <w:rsid w:val="00D02902"/>
    <w:rsid w:val="00D02AAA"/>
    <w:rsid w:val="00D03016"/>
    <w:rsid w:val="00D03AFA"/>
    <w:rsid w:val="00D053F6"/>
    <w:rsid w:val="00D07B3B"/>
    <w:rsid w:val="00D07E78"/>
    <w:rsid w:val="00D07FE5"/>
    <w:rsid w:val="00D100B1"/>
    <w:rsid w:val="00D1043A"/>
    <w:rsid w:val="00D10F0D"/>
    <w:rsid w:val="00D10F1A"/>
    <w:rsid w:val="00D1107C"/>
    <w:rsid w:val="00D12071"/>
    <w:rsid w:val="00D120BB"/>
    <w:rsid w:val="00D12F54"/>
    <w:rsid w:val="00D14703"/>
    <w:rsid w:val="00D15F1C"/>
    <w:rsid w:val="00D16058"/>
    <w:rsid w:val="00D171F6"/>
    <w:rsid w:val="00D176FA"/>
    <w:rsid w:val="00D200BC"/>
    <w:rsid w:val="00D2131D"/>
    <w:rsid w:val="00D21706"/>
    <w:rsid w:val="00D21B3B"/>
    <w:rsid w:val="00D224D7"/>
    <w:rsid w:val="00D25916"/>
    <w:rsid w:val="00D25B9A"/>
    <w:rsid w:val="00D267E6"/>
    <w:rsid w:val="00D26F99"/>
    <w:rsid w:val="00D27AB8"/>
    <w:rsid w:val="00D31527"/>
    <w:rsid w:val="00D32964"/>
    <w:rsid w:val="00D337F1"/>
    <w:rsid w:val="00D33C75"/>
    <w:rsid w:val="00D33CBA"/>
    <w:rsid w:val="00D33E97"/>
    <w:rsid w:val="00D3425D"/>
    <w:rsid w:val="00D34C20"/>
    <w:rsid w:val="00D35B0D"/>
    <w:rsid w:val="00D35CD6"/>
    <w:rsid w:val="00D370C3"/>
    <w:rsid w:val="00D37F59"/>
    <w:rsid w:val="00D42077"/>
    <w:rsid w:val="00D429EB"/>
    <w:rsid w:val="00D43C44"/>
    <w:rsid w:val="00D43D8E"/>
    <w:rsid w:val="00D442FB"/>
    <w:rsid w:val="00D444A3"/>
    <w:rsid w:val="00D44C02"/>
    <w:rsid w:val="00D4593F"/>
    <w:rsid w:val="00D45CFF"/>
    <w:rsid w:val="00D46015"/>
    <w:rsid w:val="00D46572"/>
    <w:rsid w:val="00D46E52"/>
    <w:rsid w:val="00D47729"/>
    <w:rsid w:val="00D51426"/>
    <w:rsid w:val="00D51BFE"/>
    <w:rsid w:val="00D52823"/>
    <w:rsid w:val="00D535CC"/>
    <w:rsid w:val="00D53642"/>
    <w:rsid w:val="00D536EB"/>
    <w:rsid w:val="00D53B60"/>
    <w:rsid w:val="00D54A4D"/>
    <w:rsid w:val="00D5581C"/>
    <w:rsid w:val="00D61781"/>
    <w:rsid w:val="00D6187B"/>
    <w:rsid w:val="00D61F1F"/>
    <w:rsid w:val="00D62FDD"/>
    <w:rsid w:val="00D6353C"/>
    <w:rsid w:val="00D63AE1"/>
    <w:rsid w:val="00D64CCE"/>
    <w:rsid w:val="00D64D20"/>
    <w:rsid w:val="00D64F8E"/>
    <w:rsid w:val="00D6735C"/>
    <w:rsid w:val="00D707B4"/>
    <w:rsid w:val="00D71AC7"/>
    <w:rsid w:val="00D72CA4"/>
    <w:rsid w:val="00D75EC0"/>
    <w:rsid w:val="00D76411"/>
    <w:rsid w:val="00D76E9C"/>
    <w:rsid w:val="00D80604"/>
    <w:rsid w:val="00D814B8"/>
    <w:rsid w:val="00D82417"/>
    <w:rsid w:val="00D84FF0"/>
    <w:rsid w:val="00D8598D"/>
    <w:rsid w:val="00D87A7B"/>
    <w:rsid w:val="00D87D12"/>
    <w:rsid w:val="00D87E92"/>
    <w:rsid w:val="00D87F80"/>
    <w:rsid w:val="00D90B6D"/>
    <w:rsid w:val="00D9182A"/>
    <w:rsid w:val="00D92806"/>
    <w:rsid w:val="00D929FF"/>
    <w:rsid w:val="00D9664B"/>
    <w:rsid w:val="00D97D28"/>
    <w:rsid w:val="00DA0A41"/>
    <w:rsid w:val="00DA0B6E"/>
    <w:rsid w:val="00DA1F8B"/>
    <w:rsid w:val="00DA3202"/>
    <w:rsid w:val="00DA366B"/>
    <w:rsid w:val="00DA397B"/>
    <w:rsid w:val="00DA4CC5"/>
    <w:rsid w:val="00DA5CC5"/>
    <w:rsid w:val="00DA6173"/>
    <w:rsid w:val="00DA6C03"/>
    <w:rsid w:val="00DA7389"/>
    <w:rsid w:val="00DB0279"/>
    <w:rsid w:val="00DB0B44"/>
    <w:rsid w:val="00DB1480"/>
    <w:rsid w:val="00DB3644"/>
    <w:rsid w:val="00DB3661"/>
    <w:rsid w:val="00DB73D5"/>
    <w:rsid w:val="00DB7704"/>
    <w:rsid w:val="00DB7845"/>
    <w:rsid w:val="00DB7CF1"/>
    <w:rsid w:val="00DC027C"/>
    <w:rsid w:val="00DC1783"/>
    <w:rsid w:val="00DC1C69"/>
    <w:rsid w:val="00DC2721"/>
    <w:rsid w:val="00DC2D51"/>
    <w:rsid w:val="00DC7BD0"/>
    <w:rsid w:val="00DD029C"/>
    <w:rsid w:val="00DD08F7"/>
    <w:rsid w:val="00DD36B7"/>
    <w:rsid w:val="00DD3E57"/>
    <w:rsid w:val="00DD408D"/>
    <w:rsid w:val="00DD4FE1"/>
    <w:rsid w:val="00DD547F"/>
    <w:rsid w:val="00DD7582"/>
    <w:rsid w:val="00DD7C9B"/>
    <w:rsid w:val="00DE0412"/>
    <w:rsid w:val="00DE1452"/>
    <w:rsid w:val="00DE23B5"/>
    <w:rsid w:val="00DE263C"/>
    <w:rsid w:val="00DE27EB"/>
    <w:rsid w:val="00DE34B6"/>
    <w:rsid w:val="00DE4319"/>
    <w:rsid w:val="00DE4819"/>
    <w:rsid w:val="00DE48EE"/>
    <w:rsid w:val="00DE6F38"/>
    <w:rsid w:val="00DE72DA"/>
    <w:rsid w:val="00DE762B"/>
    <w:rsid w:val="00DF112C"/>
    <w:rsid w:val="00DF1463"/>
    <w:rsid w:val="00DF27C7"/>
    <w:rsid w:val="00DF27D4"/>
    <w:rsid w:val="00DF6784"/>
    <w:rsid w:val="00E008F9"/>
    <w:rsid w:val="00E00CBF"/>
    <w:rsid w:val="00E00E65"/>
    <w:rsid w:val="00E01091"/>
    <w:rsid w:val="00E01707"/>
    <w:rsid w:val="00E02143"/>
    <w:rsid w:val="00E032D7"/>
    <w:rsid w:val="00E03AF8"/>
    <w:rsid w:val="00E0438F"/>
    <w:rsid w:val="00E04396"/>
    <w:rsid w:val="00E057DC"/>
    <w:rsid w:val="00E0595D"/>
    <w:rsid w:val="00E05B1A"/>
    <w:rsid w:val="00E05F8B"/>
    <w:rsid w:val="00E065F3"/>
    <w:rsid w:val="00E1002E"/>
    <w:rsid w:val="00E10CE8"/>
    <w:rsid w:val="00E1121E"/>
    <w:rsid w:val="00E115FE"/>
    <w:rsid w:val="00E1255E"/>
    <w:rsid w:val="00E13A03"/>
    <w:rsid w:val="00E147FD"/>
    <w:rsid w:val="00E209C8"/>
    <w:rsid w:val="00E22940"/>
    <w:rsid w:val="00E23549"/>
    <w:rsid w:val="00E238B8"/>
    <w:rsid w:val="00E23AAC"/>
    <w:rsid w:val="00E251CF"/>
    <w:rsid w:val="00E25679"/>
    <w:rsid w:val="00E25D43"/>
    <w:rsid w:val="00E25EAC"/>
    <w:rsid w:val="00E26ABD"/>
    <w:rsid w:val="00E27062"/>
    <w:rsid w:val="00E27126"/>
    <w:rsid w:val="00E27CFF"/>
    <w:rsid w:val="00E3334F"/>
    <w:rsid w:val="00E35540"/>
    <w:rsid w:val="00E401A7"/>
    <w:rsid w:val="00E413FF"/>
    <w:rsid w:val="00E41EBA"/>
    <w:rsid w:val="00E425CF"/>
    <w:rsid w:val="00E4358B"/>
    <w:rsid w:val="00E447A3"/>
    <w:rsid w:val="00E44893"/>
    <w:rsid w:val="00E44D07"/>
    <w:rsid w:val="00E45D59"/>
    <w:rsid w:val="00E46977"/>
    <w:rsid w:val="00E52095"/>
    <w:rsid w:val="00E5400D"/>
    <w:rsid w:val="00E55F51"/>
    <w:rsid w:val="00E56301"/>
    <w:rsid w:val="00E565D9"/>
    <w:rsid w:val="00E57766"/>
    <w:rsid w:val="00E57B3D"/>
    <w:rsid w:val="00E60C72"/>
    <w:rsid w:val="00E60EDD"/>
    <w:rsid w:val="00E61906"/>
    <w:rsid w:val="00E62E32"/>
    <w:rsid w:val="00E63129"/>
    <w:rsid w:val="00E632CB"/>
    <w:rsid w:val="00E64CB8"/>
    <w:rsid w:val="00E65879"/>
    <w:rsid w:val="00E65C5B"/>
    <w:rsid w:val="00E671DE"/>
    <w:rsid w:val="00E67B9B"/>
    <w:rsid w:val="00E701BE"/>
    <w:rsid w:val="00E709F0"/>
    <w:rsid w:val="00E70B1E"/>
    <w:rsid w:val="00E7188E"/>
    <w:rsid w:val="00E723CE"/>
    <w:rsid w:val="00E72832"/>
    <w:rsid w:val="00E72DD4"/>
    <w:rsid w:val="00E7395B"/>
    <w:rsid w:val="00E741CA"/>
    <w:rsid w:val="00E74414"/>
    <w:rsid w:val="00E74551"/>
    <w:rsid w:val="00E750FB"/>
    <w:rsid w:val="00E751F1"/>
    <w:rsid w:val="00E774FC"/>
    <w:rsid w:val="00E77C4F"/>
    <w:rsid w:val="00E77FE7"/>
    <w:rsid w:val="00E825D0"/>
    <w:rsid w:val="00E828BC"/>
    <w:rsid w:val="00E83A48"/>
    <w:rsid w:val="00E8403B"/>
    <w:rsid w:val="00E85052"/>
    <w:rsid w:val="00E850A1"/>
    <w:rsid w:val="00E85BA0"/>
    <w:rsid w:val="00E86E8F"/>
    <w:rsid w:val="00E906DF"/>
    <w:rsid w:val="00E910F4"/>
    <w:rsid w:val="00E9163F"/>
    <w:rsid w:val="00E9279D"/>
    <w:rsid w:val="00EA3F8A"/>
    <w:rsid w:val="00EA5D5C"/>
    <w:rsid w:val="00EB2152"/>
    <w:rsid w:val="00EB2B1F"/>
    <w:rsid w:val="00EB3BD3"/>
    <w:rsid w:val="00EB427A"/>
    <w:rsid w:val="00EB50D9"/>
    <w:rsid w:val="00EB5257"/>
    <w:rsid w:val="00EB57D0"/>
    <w:rsid w:val="00EB6035"/>
    <w:rsid w:val="00EB7947"/>
    <w:rsid w:val="00EB7F32"/>
    <w:rsid w:val="00EC0CAC"/>
    <w:rsid w:val="00EC1080"/>
    <w:rsid w:val="00EC3033"/>
    <w:rsid w:val="00EC3795"/>
    <w:rsid w:val="00EC37AE"/>
    <w:rsid w:val="00EC3B39"/>
    <w:rsid w:val="00EC4B1E"/>
    <w:rsid w:val="00EC5B36"/>
    <w:rsid w:val="00EC673E"/>
    <w:rsid w:val="00EC6D7B"/>
    <w:rsid w:val="00EC6E84"/>
    <w:rsid w:val="00ED0411"/>
    <w:rsid w:val="00ED1F78"/>
    <w:rsid w:val="00ED3EF7"/>
    <w:rsid w:val="00ED40BB"/>
    <w:rsid w:val="00ED553D"/>
    <w:rsid w:val="00ED5543"/>
    <w:rsid w:val="00ED69FE"/>
    <w:rsid w:val="00ED6D53"/>
    <w:rsid w:val="00ED7856"/>
    <w:rsid w:val="00EE01BB"/>
    <w:rsid w:val="00EE0E82"/>
    <w:rsid w:val="00EE1EDA"/>
    <w:rsid w:val="00EE2511"/>
    <w:rsid w:val="00EE2C89"/>
    <w:rsid w:val="00EE356E"/>
    <w:rsid w:val="00EE4DF6"/>
    <w:rsid w:val="00EE550C"/>
    <w:rsid w:val="00EE5676"/>
    <w:rsid w:val="00EE5F2A"/>
    <w:rsid w:val="00EE7161"/>
    <w:rsid w:val="00EF0806"/>
    <w:rsid w:val="00EF11E7"/>
    <w:rsid w:val="00EF1B62"/>
    <w:rsid w:val="00EF2337"/>
    <w:rsid w:val="00EF354D"/>
    <w:rsid w:val="00EF3C14"/>
    <w:rsid w:val="00EF4AFA"/>
    <w:rsid w:val="00EF59BE"/>
    <w:rsid w:val="00EF59EF"/>
    <w:rsid w:val="00EF5D2A"/>
    <w:rsid w:val="00EF704E"/>
    <w:rsid w:val="00F0204A"/>
    <w:rsid w:val="00F0242D"/>
    <w:rsid w:val="00F02670"/>
    <w:rsid w:val="00F03017"/>
    <w:rsid w:val="00F0436B"/>
    <w:rsid w:val="00F05174"/>
    <w:rsid w:val="00F05637"/>
    <w:rsid w:val="00F05B72"/>
    <w:rsid w:val="00F06035"/>
    <w:rsid w:val="00F0760A"/>
    <w:rsid w:val="00F0777C"/>
    <w:rsid w:val="00F077DC"/>
    <w:rsid w:val="00F0783E"/>
    <w:rsid w:val="00F07C6C"/>
    <w:rsid w:val="00F07E9B"/>
    <w:rsid w:val="00F1326D"/>
    <w:rsid w:val="00F139E3"/>
    <w:rsid w:val="00F15042"/>
    <w:rsid w:val="00F16559"/>
    <w:rsid w:val="00F16C82"/>
    <w:rsid w:val="00F17147"/>
    <w:rsid w:val="00F219F0"/>
    <w:rsid w:val="00F21BCD"/>
    <w:rsid w:val="00F224D1"/>
    <w:rsid w:val="00F22ABA"/>
    <w:rsid w:val="00F23127"/>
    <w:rsid w:val="00F2390F"/>
    <w:rsid w:val="00F24046"/>
    <w:rsid w:val="00F243EE"/>
    <w:rsid w:val="00F25785"/>
    <w:rsid w:val="00F267EB"/>
    <w:rsid w:val="00F26A57"/>
    <w:rsid w:val="00F27E54"/>
    <w:rsid w:val="00F32D7C"/>
    <w:rsid w:val="00F33264"/>
    <w:rsid w:val="00F35AA7"/>
    <w:rsid w:val="00F37AEF"/>
    <w:rsid w:val="00F403A6"/>
    <w:rsid w:val="00F40A77"/>
    <w:rsid w:val="00F40D46"/>
    <w:rsid w:val="00F41DFE"/>
    <w:rsid w:val="00F430FD"/>
    <w:rsid w:val="00F44AC3"/>
    <w:rsid w:val="00F44E0D"/>
    <w:rsid w:val="00F45FC5"/>
    <w:rsid w:val="00F470D7"/>
    <w:rsid w:val="00F478FC"/>
    <w:rsid w:val="00F5001E"/>
    <w:rsid w:val="00F50C36"/>
    <w:rsid w:val="00F52C8D"/>
    <w:rsid w:val="00F53681"/>
    <w:rsid w:val="00F54CB8"/>
    <w:rsid w:val="00F54E10"/>
    <w:rsid w:val="00F5527F"/>
    <w:rsid w:val="00F55D53"/>
    <w:rsid w:val="00F563EF"/>
    <w:rsid w:val="00F5712A"/>
    <w:rsid w:val="00F57883"/>
    <w:rsid w:val="00F6137E"/>
    <w:rsid w:val="00F6153D"/>
    <w:rsid w:val="00F63592"/>
    <w:rsid w:val="00F63C21"/>
    <w:rsid w:val="00F65170"/>
    <w:rsid w:val="00F6588E"/>
    <w:rsid w:val="00F65942"/>
    <w:rsid w:val="00F66E69"/>
    <w:rsid w:val="00F678BA"/>
    <w:rsid w:val="00F703F0"/>
    <w:rsid w:val="00F70F37"/>
    <w:rsid w:val="00F713FA"/>
    <w:rsid w:val="00F71CB5"/>
    <w:rsid w:val="00F7376F"/>
    <w:rsid w:val="00F742FE"/>
    <w:rsid w:val="00F74D65"/>
    <w:rsid w:val="00F76A02"/>
    <w:rsid w:val="00F77186"/>
    <w:rsid w:val="00F8018E"/>
    <w:rsid w:val="00F8115E"/>
    <w:rsid w:val="00F837A0"/>
    <w:rsid w:val="00F83EED"/>
    <w:rsid w:val="00F84BFD"/>
    <w:rsid w:val="00F861A6"/>
    <w:rsid w:val="00F86873"/>
    <w:rsid w:val="00F876EF"/>
    <w:rsid w:val="00F901DC"/>
    <w:rsid w:val="00F916E3"/>
    <w:rsid w:val="00F91C86"/>
    <w:rsid w:val="00F92EB6"/>
    <w:rsid w:val="00F92F2D"/>
    <w:rsid w:val="00F94D98"/>
    <w:rsid w:val="00F9559A"/>
    <w:rsid w:val="00F95C67"/>
    <w:rsid w:val="00F97678"/>
    <w:rsid w:val="00FA0852"/>
    <w:rsid w:val="00FA2887"/>
    <w:rsid w:val="00FA3EF7"/>
    <w:rsid w:val="00FA4124"/>
    <w:rsid w:val="00FA43F1"/>
    <w:rsid w:val="00FA4A02"/>
    <w:rsid w:val="00FA6BE7"/>
    <w:rsid w:val="00FB06A5"/>
    <w:rsid w:val="00FB14A6"/>
    <w:rsid w:val="00FB1698"/>
    <w:rsid w:val="00FB20D6"/>
    <w:rsid w:val="00FB26BD"/>
    <w:rsid w:val="00FB3320"/>
    <w:rsid w:val="00FB584A"/>
    <w:rsid w:val="00FB5F94"/>
    <w:rsid w:val="00FB631F"/>
    <w:rsid w:val="00FB68B5"/>
    <w:rsid w:val="00FB765D"/>
    <w:rsid w:val="00FB777F"/>
    <w:rsid w:val="00FC0F29"/>
    <w:rsid w:val="00FC10FC"/>
    <w:rsid w:val="00FC164D"/>
    <w:rsid w:val="00FC1C8E"/>
    <w:rsid w:val="00FC4EE9"/>
    <w:rsid w:val="00FC55C2"/>
    <w:rsid w:val="00FC6A0A"/>
    <w:rsid w:val="00FC74CF"/>
    <w:rsid w:val="00FD0945"/>
    <w:rsid w:val="00FD1920"/>
    <w:rsid w:val="00FD2E03"/>
    <w:rsid w:val="00FD2E9E"/>
    <w:rsid w:val="00FD2EE4"/>
    <w:rsid w:val="00FD4FDF"/>
    <w:rsid w:val="00FD551E"/>
    <w:rsid w:val="00FE043C"/>
    <w:rsid w:val="00FE1007"/>
    <w:rsid w:val="00FE2B23"/>
    <w:rsid w:val="00FE2DC1"/>
    <w:rsid w:val="00FE359B"/>
    <w:rsid w:val="00FE3CE3"/>
    <w:rsid w:val="00FE5690"/>
    <w:rsid w:val="00FE61DB"/>
    <w:rsid w:val="00FE7472"/>
    <w:rsid w:val="00FE7611"/>
    <w:rsid w:val="00FF06DD"/>
    <w:rsid w:val="00FF0F30"/>
    <w:rsid w:val="00FF1373"/>
    <w:rsid w:val="00FF1821"/>
    <w:rsid w:val="00FF25FD"/>
    <w:rsid w:val="00FF28F6"/>
    <w:rsid w:val="00FF2B93"/>
    <w:rsid w:val="00FF2D6A"/>
    <w:rsid w:val="00FF30CA"/>
    <w:rsid w:val="00FF39BA"/>
    <w:rsid w:val="00FF5A24"/>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1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4E7"/>
  </w:style>
  <w:style w:type="paragraph" w:styleId="Heading3">
    <w:name w:val="heading 3"/>
    <w:basedOn w:val="Normal"/>
    <w:link w:val="Heading3Char"/>
    <w:uiPriority w:val="9"/>
    <w:qFormat/>
    <w:rsid w:val="00D6178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4E7"/>
    <w:rPr>
      <w:color w:val="0000FF"/>
      <w:u w:val="single"/>
    </w:rPr>
  </w:style>
  <w:style w:type="paragraph" w:styleId="HTMLPreformatted">
    <w:name w:val="HTML Preformatted"/>
    <w:basedOn w:val="Normal"/>
    <w:link w:val="HTMLPreformattedChar"/>
    <w:uiPriority w:val="99"/>
    <w:semiHidden/>
    <w:unhideWhenUsed/>
    <w:rsid w:val="0020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074E7"/>
    <w:rPr>
      <w:rFonts w:ascii="Courier New" w:hAnsi="Courier New" w:cs="Courier New"/>
      <w:sz w:val="20"/>
      <w:szCs w:val="20"/>
    </w:rPr>
  </w:style>
  <w:style w:type="paragraph" w:styleId="NormalWeb">
    <w:name w:val="Normal (Web)"/>
    <w:basedOn w:val="Normal"/>
    <w:uiPriority w:val="99"/>
    <w:semiHidden/>
    <w:unhideWhenUsed/>
    <w:rsid w:val="002074E7"/>
    <w:pPr>
      <w:spacing w:before="100" w:beforeAutospacing="1" w:after="100" w:afterAutospacing="1"/>
    </w:pPr>
  </w:style>
  <w:style w:type="paragraph" w:styleId="ListParagraph">
    <w:name w:val="List Paragraph"/>
    <w:basedOn w:val="Normal"/>
    <w:uiPriority w:val="34"/>
    <w:qFormat/>
    <w:rsid w:val="002074E7"/>
    <w:pPr>
      <w:spacing w:before="100" w:beforeAutospacing="1" w:after="100" w:afterAutospacing="1"/>
    </w:pPr>
  </w:style>
  <w:style w:type="character" w:styleId="Strong">
    <w:name w:val="Strong"/>
    <w:basedOn w:val="DefaultParagraphFont"/>
    <w:uiPriority w:val="22"/>
    <w:qFormat/>
    <w:rsid w:val="002074E7"/>
    <w:rPr>
      <w:b/>
      <w:bCs/>
    </w:rPr>
  </w:style>
  <w:style w:type="character" w:styleId="CommentReference">
    <w:name w:val="annotation reference"/>
    <w:basedOn w:val="DefaultParagraphFont"/>
    <w:uiPriority w:val="99"/>
    <w:semiHidden/>
    <w:unhideWhenUsed/>
    <w:rsid w:val="002074E7"/>
    <w:rPr>
      <w:sz w:val="16"/>
      <w:szCs w:val="16"/>
    </w:rPr>
  </w:style>
  <w:style w:type="paragraph" w:styleId="CommentText">
    <w:name w:val="annotation text"/>
    <w:basedOn w:val="Normal"/>
    <w:link w:val="CommentTextChar"/>
    <w:uiPriority w:val="99"/>
    <w:unhideWhenUsed/>
    <w:rsid w:val="002074E7"/>
    <w:rPr>
      <w:sz w:val="20"/>
      <w:szCs w:val="20"/>
    </w:rPr>
  </w:style>
  <w:style w:type="character" w:customStyle="1" w:styleId="CommentTextChar">
    <w:name w:val="Comment Text Char"/>
    <w:basedOn w:val="DefaultParagraphFont"/>
    <w:link w:val="CommentText"/>
    <w:uiPriority w:val="99"/>
    <w:rsid w:val="002074E7"/>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074E7"/>
    <w:rPr>
      <w:b/>
      <w:bCs/>
    </w:rPr>
  </w:style>
  <w:style w:type="character" w:customStyle="1" w:styleId="CommentSubjectChar">
    <w:name w:val="Comment Subject Char"/>
    <w:basedOn w:val="CommentTextChar"/>
    <w:link w:val="CommentSubject"/>
    <w:uiPriority w:val="99"/>
    <w:semiHidden/>
    <w:rsid w:val="002074E7"/>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2074E7"/>
    <w:rPr>
      <w:rFonts w:ascii="Tahoma" w:hAnsi="Tahoma" w:cs="Tahoma"/>
      <w:sz w:val="16"/>
      <w:szCs w:val="16"/>
    </w:rPr>
  </w:style>
  <w:style w:type="character" w:customStyle="1" w:styleId="BalloonTextChar">
    <w:name w:val="Balloon Text Char"/>
    <w:basedOn w:val="DefaultParagraphFont"/>
    <w:link w:val="BalloonText"/>
    <w:uiPriority w:val="99"/>
    <w:semiHidden/>
    <w:rsid w:val="002074E7"/>
    <w:rPr>
      <w:rFonts w:ascii="Tahoma" w:eastAsiaTheme="minorEastAsia" w:hAnsi="Tahoma" w:cs="Tahoma"/>
      <w:sz w:val="16"/>
      <w:szCs w:val="16"/>
    </w:rPr>
  </w:style>
  <w:style w:type="paragraph" w:styleId="Header">
    <w:name w:val="header"/>
    <w:basedOn w:val="Normal"/>
    <w:link w:val="HeaderChar"/>
    <w:uiPriority w:val="99"/>
    <w:unhideWhenUsed/>
    <w:rsid w:val="003B74C5"/>
    <w:pPr>
      <w:tabs>
        <w:tab w:val="center" w:pos="4680"/>
        <w:tab w:val="right" w:pos="9360"/>
      </w:tabs>
    </w:pPr>
  </w:style>
  <w:style w:type="character" w:customStyle="1" w:styleId="HeaderChar">
    <w:name w:val="Header Char"/>
    <w:basedOn w:val="DefaultParagraphFont"/>
    <w:link w:val="Header"/>
    <w:uiPriority w:val="99"/>
    <w:rsid w:val="003B74C5"/>
  </w:style>
  <w:style w:type="paragraph" w:styleId="Footer">
    <w:name w:val="footer"/>
    <w:basedOn w:val="Normal"/>
    <w:link w:val="FooterChar"/>
    <w:uiPriority w:val="99"/>
    <w:unhideWhenUsed/>
    <w:rsid w:val="003B74C5"/>
    <w:pPr>
      <w:tabs>
        <w:tab w:val="center" w:pos="4680"/>
        <w:tab w:val="right" w:pos="9360"/>
      </w:tabs>
    </w:pPr>
  </w:style>
  <w:style w:type="character" w:customStyle="1" w:styleId="FooterChar">
    <w:name w:val="Footer Char"/>
    <w:basedOn w:val="DefaultParagraphFont"/>
    <w:link w:val="Footer"/>
    <w:uiPriority w:val="99"/>
    <w:rsid w:val="003B74C5"/>
  </w:style>
  <w:style w:type="paragraph" w:customStyle="1" w:styleId="body-paragraph">
    <w:name w:val="body-paragraph"/>
    <w:basedOn w:val="Normal"/>
    <w:rsid w:val="006953D5"/>
    <w:pPr>
      <w:spacing w:before="100" w:beforeAutospacing="1" w:after="100" w:afterAutospacing="1"/>
    </w:pPr>
    <w:rPr>
      <w:rFonts w:eastAsia="Times New Roman"/>
      <w:szCs w:val="24"/>
    </w:rPr>
  </w:style>
  <w:style w:type="character" w:styleId="Emphasis">
    <w:name w:val="Emphasis"/>
    <w:basedOn w:val="DefaultParagraphFont"/>
    <w:uiPriority w:val="20"/>
    <w:qFormat/>
    <w:rsid w:val="006953D5"/>
    <w:rPr>
      <w:i/>
      <w:iCs/>
    </w:rPr>
  </w:style>
  <w:style w:type="character" w:customStyle="1" w:styleId="h">
    <w:name w:val="h"/>
    <w:basedOn w:val="DefaultParagraphFont"/>
    <w:rsid w:val="006953D5"/>
  </w:style>
  <w:style w:type="table" w:styleId="TableGrid">
    <w:name w:val="Table Grid"/>
    <w:basedOn w:val="TableNormal"/>
    <w:uiPriority w:val="39"/>
    <w:rsid w:val="006953D5"/>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53D5"/>
    <w:rPr>
      <w:rFonts w:eastAsiaTheme="minorEastAsia" w:cstheme="minorBidi"/>
    </w:rPr>
  </w:style>
  <w:style w:type="paragraph" w:styleId="NoSpacing">
    <w:name w:val="No Spacing"/>
    <w:uiPriority w:val="1"/>
    <w:qFormat/>
    <w:rsid w:val="006953D5"/>
    <w:rPr>
      <w:szCs w:val="24"/>
    </w:rPr>
  </w:style>
  <w:style w:type="character" w:customStyle="1" w:styleId="apple-converted-space">
    <w:name w:val="apple-converted-space"/>
    <w:basedOn w:val="DefaultParagraphFont"/>
    <w:rsid w:val="00B62841"/>
  </w:style>
  <w:style w:type="character" w:customStyle="1" w:styleId="Heading3Char">
    <w:name w:val="Heading 3 Char"/>
    <w:basedOn w:val="DefaultParagraphFont"/>
    <w:link w:val="Heading3"/>
    <w:uiPriority w:val="9"/>
    <w:rsid w:val="00D61781"/>
    <w:rPr>
      <w:rFonts w:eastAsia="Times New Roman"/>
      <w:b/>
      <w:bCs/>
      <w:sz w:val="27"/>
      <w:szCs w:val="27"/>
    </w:rPr>
  </w:style>
  <w:style w:type="character" w:styleId="FollowedHyperlink">
    <w:name w:val="FollowedHyperlink"/>
    <w:basedOn w:val="DefaultParagraphFont"/>
    <w:uiPriority w:val="99"/>
    <w:semiHidden/>
    <w:unhideWhenUsed/>
    <w:rsid w:val="00824D5F"/>
    <w:rPr>
      <w:color w:val="800080" w:themeColor="followedHyperlink"/>
      <w:u w:val="single"/>
    </w:rPr>
  </w:style>
  <w:style w:type="paragraph" w:styleId="FootnoteText">
    <w:name w:val="footnote text"/>
    <w:basedOn w:val="Normal"/>
    <w:link w:val="FootnoteTextChar"/>
    <w:uiPriority w:val="99"/>
    <w:semiHidden/>
    <w:unhideWhenUsed/>
    <w:rsid w:val="00B83041"/>
    <w:pPr>
      <w:keepLines/>
    </w:pPr>
    <w:rPr>
      <w:sz w:val="20"/>
      <w:szCs w:val="20"/>
    </w:rPr>
  </w:style>
  <w:style w:type="character" w:customStyle="1" w:styleId="FootnoteTextChar">
    <w:name w:val="Footnote Text Char"/>
    <w:basedOn w:val="DefaultParagraphFont"/>
    <w:link w:val="FootnoteText"/>
    <w:uiPriority w:val="99"/>
    <w:semiHidden/>
    <w:rsid w:val="00B83041"/>
    <w:rPr>
      <w:sz w:val="20"/>
      <w:szCs w:val="20"/>
    </w:rPr>
  </w:style>
  <w:style w:type="character" w:styleId="FootnoteReference">
    <w:name w:val="footnote reference"/>
    <w:basedOn w:val="DefaultParagraphFont"/>
    <w:uiPriority w:val="99"/>
    <w:semiHidden/>
    <w:unhideWhenUsed/>
    <w:rsid w:val="003B4408"/>
    <w:rPr>
      <w:vertAlign w:val="superscript"/>
    </w:rPr>
  </w:style>
  <w:style w:type="character" w:customStyle="1" w:styleId="UnresolvedMention1">
    <w:name w:val="Unresolved Mention1"/>
    <w:basedOn w:val="DefaultParagraphFont"/>
    <w:uiPriority w:val="99"/>
    <w:semiHidden/>
    <w:unhideWhenUsed/>
    <w:rsid w:val="001E6C67"/>
    <w:rPr>
      <w:color w:val="808080"/>
      <w:shd w:val="clear" w:color="auto" w:fill="E6E6E6"/>
    </w:rPr>
  </w:style>
  <w:style w:type="paragraph" w:styleId="PlainText">
    <w:name w:val="Plain Text"/>
    <w:basedOn w:val="Normal"/>
    <w:link w:val="PlainTextChar"/>
    <w:uiPriority w:val="99"/>
    <w:semiHidden/>
    <w:unhideWhenUsed/>
    <w:rsid w:val="00A26DE8"/>
    <w:rPr>
      <w:rFonts w:ascii="Consolas" w:hAnsi="Consolas"/>
      <w:sz w:val="21"/>
      <w:szCs w:val="21"/>
    </w:rPr>
  </w:style>
  <w:style w:type="character" w:customStyle="1" w:styleId="PlainTextChar">
    <w:name w:val="Plain Text Char"/>
    <w:basedOn w:val="DefaultParagraphFont"/>
    <w:link w:val="PlainText"/>
    <w:uiPriority w:val="99"/>
    <w:semiHidden/>
    <w:rsid w:val="00A26DE8"/>
    <w:rPr>
      <w:rFonts w:ascii="Consolas" w:hAnsi="Consolas"/>
      <w:sz w:val="21"/>
      <w:szCs w:val="21"/>
    </w:rPr>
  </w:style>
  <w:style w:type="character" w:customStyle="1" w:styleId="UnresolvedMention2">
    <w:name w:val="Unresolved Mention2"/>
    <w:basedOn w:val="DefaultParagraphFont"/>
    <w:uiPriority w:val="99"/>
    <w:semiHidden/>
    <w:unhideWhenUsed/>
    <w:rsid w:val="00034755"/>
    <w:rPr>
      <w:color w:val="605E5C"/>
      <w:shd w:val="clear" w:color="auto" w:fill="E1DFDD"/>
    </w:rPr>
  </w:style>
  <w:style w:type="character" w:customStyle="1" w:styleId="UnresolvedMention3">
    <w:name w:val="Unresolved Mention3"/>
    <w:basedOn w:val="DefaultParagraphFont"/>
    <w:uiPriority w:val="99"/>
    <w:semiHidden/>
    <w:unhideWhenUsed/>
    <w:rsid w:val="007E1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01816">
      <w:bodyDiv w:val="1"/>
      <w:marLeft w:val="0"/>
      <w:marRight w:val="0"/>
      <w:marTop w:val="0"/>
      <w:marBottom w:val="0"/>
      <w:divBdr>
        <w:top w:val="none" w:sz="0" w:space="0" w:color="auto"/>
        <w:left w:val="none" w:sz="0" w:space="0" w:color="auto"/>
        <w:bottom w:val="none" w:sz="0" w:space="0" w:color="auto"/>
        <w:right w:val="none" w:sz="0" w:space="0" w:color="auto"/>
      </w:divBdr>
    </w:div>
    <w:div w:id="405156091">
      <w:bodyDiv w:val="1"/>
      <w:marLeft w:val="0"/>
      <w:marRight w:val="0"/>
      <w:marTop w:val="0"/>
      <w:marBottom w:val="0"/>
      <w:divBdr>
        <w:top w:val="none" w:sz="0" w:space="0" w:color="auto"/>
        <w:left w:val="none" w:sz="0" w:space="0" w:color="auto"/>
        <w:bottom w:val="none" w:sz="0" w:space="0" w:color="auto"/>
        <w:right w:val="none" w:sz="0" w:space="0" w:color="auto"/>
      </w:divBdr>
    </w:div>
    <w:div w:id="533159223">
      <w:bodyDiv w:val="1"/>
      <w:marLeft w:val="0"/>
      <w:marRight w:val="0"/>
      <w:marTop w:val="0"/>
      <w:marBottom w:val="0"/>
      <w:divBdr>
        <w:top w:val="none" w:sz="0" w:space="0" w:color="auto"/>
        <w:left w:val="none" w:sz="0" w:space="0" w:color="auto"/>
        <w:bottom w:val="none" w:sz="0" w:space="0" w:color="auto"/>
        <w:right w:val="none" w:sz="0" w:space="0" w:color="auto"/>
      </w:divBdr>
    </w:div>
    <w:div w:id="1051684796">
      <w:bodyDiv w:val="1"/>
      <w:marLeft w:val="0"/>
      <w:marRight w:val="0"/>
      <w:marTop w:val="0"/>
      <w:marBottom w:val="0"/>
      <w:divBdr>
        <w:top w:val="none" w:sz="0" w:space="0" w:color="auto"/>
        <w:left w:val="none" w:sz="0" w:space="0" w:color="auto"/>
        <w:bottom w:val="none" w:sz="0" w:space="0" w:color="auto"/>
        <w:right w:val="none" w:sz="0" w:space="0" w:color="auto"/>
      </w:divBdr>
    </w:div>
    <w:div w:id="1162505334">
      <w:bodyDiv w:val="1"/>
      <w:marLeft w:val="0"/>
      <w:marRight w:val="0"/>
      <w:marTop w:val="0"/>
      <w:marBottom w:val="0"/>
      <w:divBdr>
        <w:top w:val="none" w:sz="0" w:space="0" w:color="auto"/>
        <w:left w:val="none" w:sz="0" w:space="0" w:color="auto"/>
        <w:bottom w:val="none" w:sz="0" w:space="0" w:color="auto"/>
        <w:right w:val="none" w:sz="0" w:space="0" w:color="auto"/>
      </w:divBdr>
    </w:div>
    <w:div w:id="1174996992">
      <w:bodyDiv w:val="1"/>
      <w:marLeft w:val="0"/>
      <w:marRight w:val="0"/>
      <w:marTop w:val="0"/>
      <w:marBottom w:val="0"/>
      <w:divBdr>
        <w:top w:val="none" w:sz="0" w:space="0" w:color="auto"/>
        <w:left w:val="none" w:sz="0" w:space="0" w:color="auto"/>
        <w:bottom w:val="none" w:sz="0" w:space="0" w:color="auto"/>
        <w:right w:val="none" w:sz="0" w:space="0" w:color="auto"/>
      </w:divBdr>
    </w:div>
    <w:div w:id="1263416727">
      <w:bodyDiv w:val="1"/>
      <w:marLeft w:val="0"/>
      <w:marRight w:val="0"/>
      <w:marTop w:val="0"/>
      <w:marBottom w:val="0"/>
      <w:divBdr>
        <w:top w:val="none" w:sz="0" w:space="0" w:color="auto"/>
        <w:left w:val="none" w:sz="0" w:space="0" w:color="auto"/>
        <w:bottom w:val="none" w:sz="0" w:space="0" w:color="auto"/>
        <w:right w:val="none" w:sz="0" w:space="0" w:color="auto"/>
      </w:divBdr>
    </w:div>
    <w:div w:id="1316496504">
      <w:bodyDiv w:val="1"/>
      <w:marLeft w:val="0"/>
      <w:marRight w:val="0"/>
      <w:marTop w:val="0"/>
      <w:marBottom w:val="0"/>
      <w:divBdr>
        <w:top w:val="none" w:sz="0" w:space="0" w:color="auto"/>
        <w:left w:val="none" w:sz="0" w:space="0" w:color="auto"/>
        <w:bottom w:val="none" w:sz="0" w:space="0" w:color="auto"/>
        <w:right w:val="none" w:sz="0" w:space="0" w:color="auto"/>
      </w:divBdr>
    </w:div>
    <w:div w:id="1352028459">
      <w:bodyDiv w:val="1"/>
      <w:marLeft w:val="0"/>
      <w:marRight w:val="0"/>
      <w:marTop w:val="0"/>
      <w:marBottom w:val="0"/>
      <w:divBdr>
        <w:top w:val="none" w:sz="0" w:space="0" w:color="auto"/>
        <w:left w:val="none" w:sz="0" w:space="0" w:color="auto"/>
        <w:bottom w:val="none" w:sz="0" w:space="0" w:color="auto"/>
        <w:right w:val="none" w:sz="0" w:space="0" w:color="auto"/>
      </w:divBdr>
    </w:div>
    <w:div w:id="1385982676">
      <w:bodyDiv w:val="1"/>
      <w:marLeft w:val="0"/>
      <w:marRight w:val="0"/>
      <w:marTop w:val="0"/>
      <w:marBottom w:val="0"/>
      <w:divBdr>
        <w:top w:val="none" w:sz="0" w:space="0" w:color="auto"/>
        <w:left w:val="none" w:sz="0" w:space="0" w:color="auto"/>
        <w:bottom w:val="none" w:sz="0" w:space="0" w:color="auto"/>
        <w:right w:val="none" w:sz="0" w:space="0" w:color="auto"/>
      </w:divBdr>
    </w:div>
    <w:div w:id="1387727560">
      <w:bodyDiv w:val="1"/>
      <w:marLeft w:val="0"/>
      <w:marRight w:val="0"/>
      <w:marTop w:val="0"/>
      <w:marBottom w:val="0"/>
      <w:divBdr>
        <w:top w:val="none" w:sz="0" w:space="0" w:color="auto"/>
        <w:left w:val="none" w:sz="0" w:space="0" w:color="auto"/>
        <w:bottom w:val="none" w:sz="0" w:space="0" w:color="auto"/>
        <w:right w:val="none" w:sz="0" w:space="0" w:color="auto"/>
      </w:divBdr>
    </w:div>
    <w:div w:id="1424909511">
      <w:bodyDiv w:val="1"/>
      <w:marLeft w:val="0"/>
      <w:marRight w:val="0"/>
      <w:marTop w:val="0"/>
      <w:marBottom w:val="0"/>
      <w:divBdr>
        <w:top w:val="none" w:sz="0" w:space="0" w:color="auto"/>
        <w:left w:val="none" w:sz="0" w:space="0" w:color="auto"/>
        <w:bottom w:val="none" w:sz="0" w:space="0" w:color="auto"/>
        <w:right w:val="none" w:sz="0" w:space="0" w:color="auto"/>
      </w:divBdr>
    </w:div>
    <w:div w:id="1524244094">
      <w:bodyDiv w:val="1"/>
      <w:marLeft w:val="0"/>
      <w:marRight w:val="0"/>
      <w:marTop w:val="0"/>
      <w:marBottom w:val="0"/>
      <w:divBdr>
        <w:top w:val="none" w:sz="0" w:space="0" w:color="auto"/>
        <w:left w:val="none" w:sz="0" w:space="0" w:color="auto"/>
        <w:bottom w:val="none" w:sz="0" w:space="0" w:color="auto"/>
        <w:right w:val="none" w:sz="0" w:space="0" w:color="auto"/>
      </w:divBdr>
    </w:div>
    <w:div w:id="1689873594">
      <w:bodyDiv w:val="1"/>
      <w:marLeft w:val="0"/>
      <w:marRight w:val="0"/>
      <w:marTop w:val="0"/>
      <w:marBottom w:val="0"/>
      <w:divBdr>
        <w:top w:val="none" w:sz="0" w:space="0" w:color="auto"/>
        <w:left w:val="none" w:sz="0" w:space="0" w:color="auto"/>
        <w:bottom w:val="none" w:sz="0" w:space="0" w:color="auto"/>
        <w:right w:val="none" w:sz="0" w:space="0" w:color="auto"/>
      </w:divBdr>
    </w:div>
    <w:div w:id="1948191742">
      <w:bodyDiv w:val="1"/>
      <w:marLeft w:val="0"/>
      <w:marRight w:val="0"/>
      <w:marTop w:val="0"/>
      <w:marBottom w:val="0"/>
      <w:divBdr>
        <w:top w:val="none" w:sz="0" w:space="0" w:color="auto"/>
        <w:left w:val="none" w:sz="0" w:space="0" w:color="auto"/>
        <w:bottom w:val="none" w:sz="0" w:space="0" w:color="auto"/>
        <w:right w:val="none" w:sz="0" w:space="0" w:color="auto"/>
      </w:divBdr>
    </w:div>
    <w:div w:id="20211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25F4-E01A-4AC6-A5D2-02912D22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10911</Words>
  <Characters>62199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2019-06-13T15:15:00Z</dcterms:created>
  <dcterms:modified xsi:type="dcterms:W3CDTF">2019-06-13T15:15:00Z</dcterms:modified>
</cp:coreProperties>
</file>